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B9E59D">
      <w:pPr>
        <w:pStyle w:val="5"/>
        <w:rPr>
          <w:rFonts w:ascii="Times New Roman"/>
          <w:sz w:val="20"/>
          <w:highlight w:val="none"/>
        </w:rPr>
      </w:pPr>
    </w:p>
    <w:p w14:paraId="663404BB">
      <w:pPr>
        <w:pStyle w:val="5"/>
        <w:rPr>
          <w:rFonts w:ascii="Times New Roman"/>
          <w:sz w:val="20"/>
          <w:highlight w:val="none"/>
        </w:rPr>
      </w:pPr>
    </w:p>
    <w:p w14:paraId="18E94303">
      <w:pPr>
        <w:pStyle w:val="5"/>
        <w:rPr>
          <w:rFonts w:ascii="Times New Roman"/>
          <w:sz w:val="20"/>
          <w:highlight w:val="none"/>
        </w:rPr>
      </w:pPr>
    </w:p>
    <w:p w14:paraId="6B25CA5B">
      <w:pPr>
        <w:pStyle w:val="5"/>
        <w:rPr>
          <w:rFonts w:ascii="Times New Roman"/>
          <w:sz w:val="20"/>
          <w:highlight w:val="none"/>
        </w:rPr>
      </w:pPr>
    </w:p>
    <w:p w14:paraId="24E084B3">
      <w:pPr>
        <w:pStyle w:val="5"/>
        <w:rPr>
          <w:rFonts w:ascii="Times New Roman"/>
          <w:sz w:val="20"/>
          <w:highlight w:val="none"/>
        </w:rPr>
      </w:pPr>
    </w:p>
    <w:p w14:paraId="1D0FAE26">
      <w:pPr>
        <w:pStyle w:val="5"/>
        <w:spacing w:before="1"/>
        <w:rPr>
          <w:rFonts w:ascii="Times New Roman"/>
          <w:sz w:val="18"/>
          <w:highlight w:val="none"/>
        </w:rPr>
      </w:pPr>
    </w:p>
    <w:p w14:paraId="329709B1">
      <w:pPr>
        <w:pStyle w:val="9"/>
        <w:rPr>
          <w:highlight w:val="none"/>
        </w:rPr>
      </w:pPr>
      <w:r>
        <w:rPr>
          <w:highlight w:val="none"/>
        </w:rPr>
        <w:t>建设项目竣工环境保护验收调查表</w:t>
      </w:r>
    </w:p>
    <w:p w14:paraId="5AA47221">
      <w:pPr>
        <w:pStyle w:val="5"/>
        <w:rPr>
          <w:b/>
          <w:sz w:val="48"/>
          <w:highlight w:val="none"/>
        </w:rPr>
      </w:pPr>
    </w:p>
    <w:p w14:paraId="29D673CE">
      <w:pPr>
        <w:pStyle w:val="5"/>
        <w:rPr>
          <w:b/>
          <w:sz w:val="48"/>
          <w:highlight w:val="none"/>
        </w:rPr>
      </w:pPr>
    </w:p>
    <w:p w14:paraId="0219B62F">
      <w:pPr>
        <w:pStyle w:val="5"/>
        <w:rPr>
          <w:b/>
          <w:sz w:val="48"/>
          <w:highlight w:val="none"/>
        </w:rPr>
      </w:pPr>
    </w:p>
    <w:p w14:paraId="030495E2">
      <w:pPr>
        <w:pStyle w:val="5"/>
        <w:rPr>
          <w:b/>
          <w:sz w:val="48"/>
          <w:highlight w:val="none"/>
        </w:rPr>
      </w:pPr>
    </w:p>
    <w:p w14:paraId="535EF1E9">
      <w:pPr>
        <w:pStyle w:val="5"/>
        <w:spacing w:before="11"/>
        <w:rPr>
          <w:b/>
          <w:sz w:val="59"/>
          <w:highlight w:val="none"/>
        </w:rPr>
      </w:pPr>
    </w:p>
    <w:p w14:paraId="0965574C">
      <w:pPr>
        <w:tabs>
          <w:tab w:val="left" w:pos="2775"/>
          <w:tab w:val="left" w:pos="7575"/>
        </w:tabs>
        <w:spacing w:before="0" w:line="364" w:lineRule="auto"/>
        <w:ind w:left="220" w:right="1107" w:firstLine="0"/>
        <w:jc w:val="left"/>
        <w:rPr>
          <w:spacing w:val="-4"/>
          <w:sz w:val="30"/>
          <w:highlight w:val="none"/>
          <w:u w:val="single"/>
        </w:rPr>
      </w:pPr>
      <w:r>
        <w:rPr>
          <w:b/>
          <w:sz w:val="30"/>
          <w:highlight w:val="none"/>
        </w:rPr>
        <w:t>项目名称：</w:t>
      </w:r>
      <w:r>
        <w:rPr>
          <w:rFonts w:hint="eastAsia"/>
          <w:sz w:val="30"/>
          <w:highlight w:val="none"/>
          <w:u w:val="single"/>
          <w:lang w:eastAsia="zh-CN"/>
        </w:rPr>
        <w:t>台山鑫昊150MW渔光互补光伏发电项目（</w:t>
      </w:r>
      <w:r>
        <w:rPr>
          <w:rFonts w:hint="eastAsia"/>
          <w:sz w:val="30"/>
          <w:highlight w:val="none"/>
          <w:u w:val="single"/>
          <w:lang w:val="en-US" w:eastAsia="zh-CN"/>
        </w:rPr>
        <w:t>一期</w:t>
      </w:r>
      <w:r>
        <w:rPr>
          <w:rFonts w:hint="eastAsia"/>
          <w:sz w:val="30"/>
          <w:highlight w:val="none"/>
          <w:u w:val="single"/>
          <w:lang w:eastAsia="zh-CN"/>
        </w:rPr>
        <w:t>）</w:t>
      </w:r>
      <w:r>
        <w:rPr>
          <w:spacing w:val="-4"/>
          <w:sz w:val="30"/>
          <w:highlight w:val="none"/>
          <w:u w:val="single"/>
        </w:rPr>
        <w:t xml:space="preserve"> </w:t>
      </w:r>
    </w:p>
    <w:p w14:paraId="61E87E58">
      <w:pPr>
        <w:tabs>
          <w:tab w:val="left" w:pos="2775"/>
          <w:tab w:val="left" w:pos="7575"/>
        </w:tabs>
        <w:spacing w:before="0" w:line="364" w:lineRule="auto"/>
        <w:ind w:left="220" w:right="1107" w:firstLine="0"/>
        <w:jc w:val="left"/>
        <w:rPr>
          <w:sz w:val="30"/>
          <w:highlight w:val="none"/>
        </w:rPr>
      </w:pPr>
      <w:r>
        <w:rPr>
          <w:b/>
          <w:sz w:val="30"/>
          <w:highlight w:val="none"/>
        </w:rPr>
        <w:t>建设单位：</w:t>
      </w:r>
      <w:r>
        <w:rPr>
          <w:b/>
          <w:sz w:val="30"/>
          <w:highlight w:val="none"/>
          <w:u w:val="thick"/>
        </w:rPr>
        <w:t xml:space="preserve"> </w:t>
      </w:r>
      <w:r>
        <w:rPr>
          <w:b/>
          <w:sz w:val="30"/>
          <w:highlight w:val="none"/>
          <w:u w:val="thick"/>
        </w:rPr>
        <w:tab/>
      </w:r>
      <w:r>
        <w:rPr>
          <w:rFonts w:hint="eastAsia"/>
          <w:sz w:val="30"/>
          <w:highlight w:val="none"/>
          <w:u w:val="thick"/>
          <w:lang w:eastAsia="zh-CN"/>
        </w:rPr>
        <w:t>台山市鑫昊新能源有限公司</w:t>
      </w:r>
      <w:r>
        <w:rPr>
          <w:sz w:val="30"/>
          <w:highlight w:val="none"/>
          <w:u w:val="thick"/>
        </w:rPr>
        <w:tab/>
      </w:r>
    </w:p>
    <w:p w14:paraId="53CE8626">
      <w:pPr>
        <w:pStyle w:val="5"/>
        <w:rPr>
          <w:sz w:val="20"/>
          <w:highlight w:val="none"/>
        </w:rPr>
      </w:pPr>
    </w:p>
    <w:p w14:paraId="58630FA7">
      <w:pPr>
        <w:pStyle w:val="5"/>
        <w:rPr>
          <w:sz w:val="20"/>
          <w:highlight w:val="none"/>
        </w:rPr>
      </w:pPr>
    </w:p>
    <w:p w14:paraId="48494983">
      <w:pPr>
        <w:pStyle w:val="5"/>
        <w:rPr>
          <w:sz w:val="20"/>
          <w:highlight w:val="none"/>
        </w:rPr>
      </w:pPr>
    </w:p>
    <w:p w14:paraId="4F5832D9">
      <w:pPr>
        <w:pStyle w:val="5"/>
        <w:rPr>
          <w:sz w:val="20"/>
          <w:highlight w:val="none"/>
        </w:rPr>
      </w:pPr>
    </w:p>
    <w:p w14:paraId="540222B0">
      <w:pPr>
        <w:pStyle w:val="5"/>
        <w:rPr>
          <w:sz w:val="20"/>
          <w:highlight w:val="none"/>
        </w:rPr>
      </w:pPr>
    </w:p>
    <w:p w14:paraId="04E9B654">
      <w:pPr>
        <w:pStyle w:val="5"/>
        <w:rPr>
          <w:sz w:val="20"/>
          <w:highlight w:val="none"/>
        </w:rPr>
      </w:pPr>
    </w:p>
    <w:p w14:paraId="1B04AB06">
      <w:pPr>
        <w:pStyle w:val="5"/>
        <w:rPr>
          <w:sz w:val="20"/>
          <w:highlight w:val="none"/>
        </w:rPr>
      </w:pPr>
    </w:p>
    <w:p w14:paraId="1637A94B">
      <w:pPr>
        <w:pStyle w:val="5"/>
        <w:rPr>
          <w:sz w:val="20"/>
          <w:highlight w:val="none"/>
        </w:rPr>
      </w:pPr>
    </w:p>
    <w:p w14:paraId="07A8788A">
      <w:pPr>
        <w:pStyle w:val="5"/>
        <w:spacing w:before="4"/>
        <w:rPr>
          <w:sz w:val="18"/>
          <w:highlight w:val="none"/>
        </w:rPr>
      </w:pPr>
    </w:p>
    <w:p w14:paraId="7B24156A">
      <w:pPr>
        <w:spacing w:before="62" w:line="410" w:lineRule="auto"/>
        <w:ind w:left="2163" w:right="1390" w:firstLine="0"/>
        <w:jc w:val="left"/>
        <w:rPr>
          <w:rFonts w:hint="eastAsia"/>
          <w:sz w:val="28"/>
          <w:highlight w:val="none"/>
          <w:lang w:eastAsia="zh-CN"/>
        </w:rPr>
      </w:pPr>
      <w:r>
        <w:rPr>
          <w:b/>
          <w:sz w:val="28"/>
          <w:highlight w:val="none"/>
        </w:rPr>
        <w:t>建设单位：</w:t>
      </w:r>
      <w:r>
        <w:rPr>
          <w:rFonts w:hint="eastAsia"/>
          <w:sz w:val="28"/>
          <w:highlight w:val="none"/>
          <w:lang w:eastAsia="zh-CN"/>
        </w:rPr>
        <w:t>台山市鑫昊新能源有限公司</w:t>
      </w:r>
    </w:p>
    <w:p w14:paraId="0FF80003">
      <w:pPr>
        <w:spacing w:before="62" w:line="410" w:lineRule="auto"/>
        <w:ind w:left="2163" w:right="1390" w:firstLine="0"/>
        <w:jc w:val="left"/>
        <w:rPr>
          <w:sz w:val="28"/>
          <w:highlight w:val="none"/>
        </w:rPr>
      </w:pPr>
      <w:r>
        <w:rPr>
          <w:b/>
          <w:sz w:val="28"/>
          <w:highlight w:val="none"/>
        </w:rPr>
        <w:t>编制单位：</w:t>
      </w:r>
      <w:r>
        <w:rPr>
          <w:rFonts w:hint="eastAsia"/>
          <w:sz w:val="28"/>
          <w:highlight w:val="none"/>
          <w:lang w:val="en-US" w:eastAsia="zh-CN"/>
        </w:rPr>
        <w:t>江门市泰邦环保</w:t>
      </w:r>
      <w:r>
        <w:rPr>
          <w:sz w:val="28"/>
          <w:highlight w:val="none"/>
        </w:rPr>
        <w:t>有限公司</w:t>
      </w:r>
    </w:p>
    <w:p w14:paraId="71689430">
      <w:pPr>
        <w:pStyle w:val="3"/>
        <w:rPr>
          <w:rFonts w:hint="eastAsia" w:ascii="宋体" w:eastAsia="宋体"/>
          <w:highlight w:val="none"/>
        </w:rPr>
      </w:pPr>
      <w:r>
        <w:rPr>
          <w:highlight w:val="none"/>
        </w:rPr>
        <w:t>202</w:t>
      </w:r>
      <w:r>
        <w:rPr>
          <w:rFonts w:hint="eastAsia" w:eastAsia="宋体"/>
          <w:highlight w:val="none"/>
          <w:lang w:val="en-US" w:eastAsia="zh-CN"/>
        </w:rPr>
        <w:t>4</w:t>
      </w:r>
      <w:r>
        <w:rPr>
          <w:rFonts w:hint="eastAsia" w:ascii="宋体" w:eastAsia="宋体"/>
          <w:highlight w:val="none"/>
        </w:rPr>
        <w:t>年</w:t>
      </w:r>
      <w:r>
        <w:rPr>
          <w:rFonts w:hint="eastAsia" w:eastAsia="宋体"/>
          <w:highlight w:val="none"/>
          <w:lang w:val="en-US" w:eastAsia="zh-CN"/>
        </w:rPr>
        <w:t>10</w:t>
      </w:r>
      <w:r>
        <w:rPr>
          <w:rFonts w:hint="eastAsia" w:ascii="宋体" w:eastAsia="宋体"/>
          <w:highlight w:val="none"/>
        </w:rPr>
        <w:t>月</w:t>
      </w:r>
    </w:p>
    <w:p w14:paraId="695B0F7C">
      <w:pPr>
        <w:spacing w:after="0"/>
        <w:rPr>
          <w:rFonts w:hint="eastAsia" w:ascii="宋体" w:eastAsia="宋体"/>
          <w:highlight w:val="none"/>
        </w:rPr>
        <w:sectPr>
          <w:type w:val="continuous"/>
          <w:pgSz w:w="11910" w:h="16840"/>
          <w:pgMar w:top="1580" w:right="1440" w:bottom="280" w:left="1580" w:header="720" w:footer="720" w:gutter="0"/>
          <w:cols w:space="720" w:num="1"/>
        </w:sectPr>
      </w:pPr>
    </w:p>
    <w:p w14:paraId="663D4058">
      <w:pPr>
        <w:pStyle w:val="2"/>
        <w:tabs>
          <w:tab w:val="left" w:pos="801"/>
        </w:tabs>
        <w:rPr>
          <w:highlight w:val="none"/>
        </w:rPr>
      </w:pPr>
      <w:r>
        <w:rPr>
          <w:highlight w:val="none"/>
        </w:rPr>
        <w:t>表</w:t>
      </w:r>
      <w:r>
        <w:rPr>
          <w:rFonts w:ascii="Times New Roman" w:eastAsia="Times New Roman"/>
          <w:highlight w:val="none"/>
        </w:rPr>
        <w:t>1</w:t>
      </w:r>
      <w:r>
        <w:rPr>
          <w:rFonts w:ascii="Times New Roman" w:eastAsia="Times New Roman"/>
          <w:highlight w:val="none"/>
        </w:rPr>
        <w:tab/>
      </w:r>
      <w:r>
        <w:rPr>
          <w:highlight w:val="none"/>
        </w:rPr>
        <w:t>项目总体情况</w:t>
      </w:r>
    </w:p>
    <w:p w14:paraId="4F4091EF">
      <w:pPr>
        <w:pStyle w:val="5"/>
        <w:spacing w:before="12"/>
        <w:rPr>
          <w:b/>
          <w:sz w:val="4"/>
          <w:highlight w:val="none"/>
        </w:rPr>
      </w:pPr>
    </w:p>
    <w:tbl>
      <w:tblPr>
        <w:tblStyle w:val="10"/>
        <w:tblW w:w="0" w:type="auto"/>
        <w:tblInd w:w="2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95"/>
        <w:gridCol w:w="1502"/>
        <w:gridCol w:w="1525"/>
        <w:gridCol w:w="258"/>
        <w:gridCol w:w="1134"/>
        <w:gridCol w:w="640"/>
        <w:gridCol w:w="392"/>
        <w:gridCol w:w="979"/>
      </w:tblGrid>
      <w:tr w14:paraId="557A7E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bottom w:val="single" w:color="000000" w:sz="4" w:space="0"/>
              <w:right w:val="single" w:color="000000" w:sz="4" w:space="0"/>
            </w:tcBorders>
            <w:vAlign w:val="center"/>
          </w:tcPr>
          <w:p w14:paraId="566C4A26">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建设项目名称</w:t>
            </w:r>
          </w:p>
        </w:tc>
        <w:tc>
          <w:tcPr>
            <w:tcW w:w="6430" w:type="dxa"/>
            <w:gridSpan w:val="7"/>
            <w:tcBorders>
              <w:left w:val="single" w:color="000000" w:sz="4" w:space="0"/>
              <w:bottom w:val="single" w:color="000000" w:sz="4" w:space="0"/>
            </w:tcBorders>
            <w:vAlign w:val="center"/>
          </w:tcPr>
          <w:p w14:paraId="2F78F65F">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eastAsia="宋体"/>
                <w:sz w:val="24"/>
                <w:highlight w:val="none"/>
                <w:lang w:eastAsia="zh-CN"/>
              </w:rPr>
            </w:pPr>
            <w:r>
              <w:rPr>
                <w:rFonts w:hint="eastAsia"/>
                <w:sz w:val="24"/>
                <w:highlight w:val="none"/>
                <w:lang w:eastAsia="zh-CN"/>
              </w:rPr>
              <w:t>台山鑫昊150MW渔光互补光伏发电项目（</w:t>
            </w:r>
            <w:r>
              <w:rPr>
                <w:rFonts w:hint="eastAsia"/>
                <w:sz w:val="24"/>
                <w:highlight w:val="none"/>
                <w:lang w:val="en-US" w:eastAsia="zh-CN"/>
              </w:rPr>
              <w:t>一期</w:t>
            </w:r>
            <w:r>
              <w:rPr>
                <w:rFonts w:hint="eastAsia"/>
                <w:sz w:val="24"/>
                <w:highlight w:val="none"/>
                <w:lang w:eastAsia="zh-CN"/>
              </w:rPr>
              <w:t>）</w:t>
            </w:r>
          </w:p>
        </w:tc>
      </w:tr>
      <w:tr w14:paraId="570241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vAlign w:val="center"/>
          </w:tcPr>
          <w:p w14:paraId="4A775E1E">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建设单位</w:t>
            </w:r>
          </w:p>
        </w:tc>
        <w:tc>
          <w:tcPr>
            <w:tcW w:w="6430" w:type="dxa"/>
            <w:gridSpan w:val="7"/>
            <w:tcBorders>
              <w:top w:val="single" w:color="000000" w:sz="4" w:space="0"/>
              <w:left w:val="single" w:color="000000" w:sz="4" w:space="0"/>
              <w:bottom w:val="single" w:color="000000" w:sz="4" w:space="0"/>
            </w:tcBorders>
            <w:vAlign w:val="center"/>
          </w:tcPr>
          <w:p w14:paraId="62842C98">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eastAsia="宋体"/>
                <w:sz w:val="24"/>
                <w:highlight w:val="none"/>
                <w:lang w:eastAsia="zh-CN"/>
              </w:rPr>
            </w:pPr>
            <w:r>
              <w:rPr>
                <w:rFonts w:hint="eastAsia"/>
                <w:sz w:val="24"/>
                <w:highlight w:val="none"/>
                <w:lang w:eastAsia="zh-CN"/>
              </w:rPr>
              <w:t>台山市鑫昊新能源有限公司</w:t>
            </w:r>
          </w:p>
        </w:tc>
      </w:tr>
      <w:tr w14:paraId="1A914C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vAlign w:val="center"/>
          </w:tcPr>
          <w:p w14:paraId="12A31343">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法人代表</w:t>
            </w:r>
          </w:p>
        </w:tc>
        <w:tc>
          <w:tcPr>
            <w:tcW w:w="3027" w:type="dxa"/>
            <w:gridSpan w:val="2"/>
            <w:tcBorders>
              <w:top w:val="single" w:color="000000" w:sz="4" w:space="0"/>
              <w:left w:val="single" w:color="000000" w:sz="4" w:space="0"/>
              <w:bottom w:val="single" w:color="000000" w:sz="4" w:space="0"/>
              <w:right w:val="single" w:color="000000" w:sz="4" w:space="0"/>
            </w:tcBorders>
            <w:vAlign w:val="center"/>
          </w:tcPr>
          <w:p w14:paraId="01B68C82">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rFonts w:hint="eastAsia"/>
                <w:sz w:val="24"/>
                <w:highlight w:val="none"/>
              </w:rPr>
              <w:t>段国锋</w:t>
            </w:r>
          </w:p>
        </w:tc>
        <w:tc>
          <w:tcPr>
            <w:tcW w:w="2032" w:type="dxa"/>
            <w:gridSpan w:val="3"/>
            <w:tcBorders>
              <w:top w:val="single" w:color="000000" w:sz="4" w:space="0"/>
              <w:left w:val="single" w:color="000000" w:sz="4" w:space="0"/>
              <w:bottom w:val="single" w:color="000000" w:sz="4" w:space="0"/>
              <w:right w:val="single" w:color="000000" w:sz="4" w:space="0"/>
            </w:tcBorders>
            <w:vAlign w:val="center"/>
          </w:tcPr>
          <w:p w14:paraId="1C3E6FDB">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联系人</w:t>
            </w:r>
          </w:p>
        </w:tc>
        <w:tc>
          <w:tcPr>
            <w:tcW w:w="1371" w:type="dxa"/>
            <w:gridSpan w:val="2"/>
            <w:tcBorders>
              <w:top w:val="single" w:color="000000" w:sz="4" w:space="0"/>
              <w:left w:val="single" w:color="000000" w:sz="4" w:space="0"/>
              <w:bottom w:val="single" w:color="000000" w:sz="4" w:space="0"/>
            </w:tcBorders>
            <w:vAlign w:val="center"/>
          </w:tcPr>
          <w:p w14:paraId="13315500">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rFonts w:hint="eastAsia"/>
                <w:sz w:val="24"/>
                <w:highlight w:val="none"/>
              </w:rPr>
              <w:t>许辉杰</w:t>
            </w:r>
          </w:p>
        </w:tc>
      </w:tr>
      <w:tr w14:paraId="54B9D0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vAlign w:val="center"/>
          </w:tcPr>
          <w:p w14:paraId="5C7F697C">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通信地址</w:t>
            </w:r>
          </w:p>
        </w:tc>
        <w:tc>
          <w:tcPr>
            <w:tcW w:w="6430" w:type="dxa"/>
            <w:gridSpan w:val="7"/>
            <w:tcBorders>
              <w:top w:val="single" w:color="000000" w:sz="4" w:space="0"/>
              <w:left w:val="single" w:color="000000" w:sz="4" w:space="0"/>
              <w:bottom w:val="single" w:color="000000" w:sz="4" w:space="0"/>
            </w:tcBorders>
            <w:vAlign w:val="center"/>
          </w:tcPr>
          <w:p w14:paraId="12D2902D">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rFonts w:hint="eastAsia"/>
                <w:sz w:val="24"/>
                <w:highlight w:val="none"/>
              </w:rPr>
              <w:t>台山市汶村镇横山渔业村海傍路63号之三</w:t>
            </w:r>
          </w:p>
        </w:tc>
      </w:tr>
      <w:tr w14:paraId="0B87E5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vAlign w:val="center"/>
          </w:tcPr>
          <w:p w14:paraId="2F0CECB3">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联系电话</w:t>
            </w:r>
          </w:p>
        </w:tc>
        <w:tc>
          <w:tcPr>
            <w:tcW w:w="1502" w:type="dxa"/>
            <w:tcBorders>
              <w:top w:val="single" w:color="000000" w:sz="4" w:space="0"/>
              <w:left w:val="single" w:color="000000" w:sz="4" w:space="0"/>
              <w:bottom w:val="single" w:color="000000" w:sz="4" w:space="0"/>
              <w:right w:val="single" w:color="000000" w:sz="4" w:space="0"/>
            </w:tcBorders>
            <w:vAlign w:val="center"/>
          </w:tcPr>
          <w:p w14:paraId="6DE9CAF4">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4"/>
                <w:highlight w:val="none"/>
              </w:rPr>
            </w:pPr>
            <w:r>
              <w:rPr>
                <w:rFonts w:hint="eastAsia" w:ascii="Times New Roman"/>
                <w:sz w:val="24"/>
                <w:highlight w:val="none"/>
              </w:rPr>
              <w:t>18105661983</w:t>
            </w:r>
          </w:p>
        </w:tc>
        <w:tc>
          <w:tcPr>
            <w:tcW w:w="1525" w:type="dxa"/>
            <w:tcBorders>
              <w:top w:val="single" w:color="000000" w:sz="4" w:space="0"/>
              <w:left w:val="single" w:color="000000" w:sz="4" w:space="0"/>
              <w:bottom w:val="single" w:color="000000" w:sz="4" w:space="0"/>
              <w:right w:val="single" w:color="000000" w:sz="4" w:space="0"/>
            </w:tcBorders>
            <w:vAlign w:val="center"/>
          </w:tcPr>
          <w:p w14:paraId="2E839D59">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传真</w:t>
            </w:r>
          </w:p>
        </w:tc>
        <w:tc>
          <w:tcPr>
            <w:tcW w:w="1392" w:type="dxa"/>
            <w:gridSpan w:val="2"/>
            <w:tcBorders>
              <w:top w:val="single" w:color="000000" w:sz="4" w:space="0"/>
              <w:left w:val="single" w:color="000000" w:sz="4" w:space="0"/>
              <w:bottom w:val="single" w:color="000000" w:sz="4" w:space="0"/>
              <w:right w:val="single" w:color="000000" w:sz="4" w:space="0"/>
            </w:tcBorders>
            <w:vAlign w:val="center"/>
          </w:tcPr>
          <w:p w14:paraId="5A205CDD">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hAnsi="Times New Roman"/>
                <w:sz w:val="24"/>
                <w:highlight w:val="none"/>
              </w:rPr>
            </w:pPr>
            <w:r>
              <w:rPr>
                <w:rFonts w:ascii="Times New Roman" w:hAnsi="Times New Roman"/>
                <w:sz w:val="24"/>
                <w:highlight w:val="none"/>
              </w:rPr>
              <w:t>—</w:t>
            </w:r>
          </w:p>
        </w:tc>
        <w:tc>
          <w:tcPr>
            <w:tcW w:w="1032" w:type="dxa"/>
            <w:gridSpan w:val="2"/>
            <w:tcBorders>
              <w:top w:val="single" w:color="000000" w:sz="4" w:space="0"/>
              <w:left w:val="single" w:color="000000" w:sz="4" w:space="0"/>
              <w:bottom w:val="single" w:color="000000" w:sz="4" w:space="0"/>
              <w:right w:val="single" w:color="000000" w:sz="4" w:space="0"/>
            </w:tcBorders>
            <w:vAlign w:val="center"/>
          </w:tcPr>
          <w:p w14:paraId="2CE20AAB">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邮编</w:t>
            </w:r>
          </w:p>
        </w:tc>
        <w:tc>
          <w:tcPr>
            <w:tcW w:w="979" w:type="dxa"/>
            <w:tcBorders>
              <w:top w:val="single" w:color="000000" w:sz="4" w:space="0"/>
              <w:left w:val="single" w:color="000000" w:sz="4" w:space="0"/>
              <w:bottom w:val="single" w:color="000000" w:sz="4" w:space="0"/>
            </w:tcBorders>
            <w:vAlign w:val="center"/>
          </w:tcPr>
          <w:p w14:paraId="1A8A8CED">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eastAsia="宋体"/>
                <w:sz w:val="24"/>
                <w:highlight w:val="none"/>
                <w:lang w:val="en-US" w:eastAsia="zh-CN"/>
              </w:rPr>
            </w:pPr>
            <w:r>
              <w:rPr>
                <w:rFonts w:hint="eastAsia" w:ascii="Times New Roman"/>
                <w:sz w:val="24"/>
                <w:highlight w:val="none"/>
                <w:lang w:val="en-US" w:eastAsia="zh-CN"/>
              </w:rPr>
              <w:t>529000</w:t>
            </w:r>
          </w:p>
        </w:tc>
      </w:tr>
      <w:tr w14:paraId="314879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vAlign w:val="center"/>
          </w:tcPr>
          <w:p w14:paraId="3CE874CE">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建设地点</w:t>
            </w:r>
          </w:p>
        </w:tc>
        <w:tc>
          <w:tcPr>
            <w:tcW w:w="6430" w:type="dxa"/>
            <w:gridSpan w:val="7"/>
            <w:tcBorders>
              <w:top w:val="single" w:color="000000" w:sz="4" w:space="0"/>
              <w:left w:val="single" w:color="000000" w:sz="4" w:space="0"/>
              <w:bottom w:val="single" w:color="000000" w:sz="4" w:space="0"/>
            </w:tcBorders>
            <w:vAlign w:val="center"/>
          </w:tcPr>
          <w:p w14:paraId="75926DA7">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rFonts w:hint="eastAsia"/>
                <w:sz w:val="24"/>
                <w:highlight w:val="none"/>
              </w:rPr>
              <w:t>广东省江门市台山市汶村镇</w:t>
            </w:r>
          </w:p>
        </w:tc>
      </w:tr>
      <w:tr w14:paraId="05B8A6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vAlign w:val="center"/>
          </w:tcPr>
          <w:p w14:paraId="385B3550">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项目性质</w:t>
            </w:r>
          </w:p>
        </w:tc>
        <w:tc>
          <w:tcPr>
            <w:tcW w:w="3027" w:type="dxa"/>
            <w:gridSpan w:val="2"/>
            <w:tcBorders>
              <w:top w:val="single" w:color="000000" w:sz="4" w:space="0"/>
              <w:left w:val="single" w:color="000000" w:sz="4" w:space="0"/>
              <w:bottom w:val="single" w:color="000000" w:sz="4" w:space="0"/>
              <w:right w:val="single" w:color="000000" w:sz="4" w:space="0"/>
            </w:tcBorders>
            <w:vAlign w:val="center"/>
          </w:tcPr>
          <w:p w14:paraId="3A218EF9">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hAnsi="Times New Roman" w:eastAsia="Times New Roman"/>
                <w:sz w:val="24"/>
                <w:highlight w:val="none"/>
              </w:rPr>
            </w:pPr>
            <w:r>
              <w:rPr>
                <w:sz w:val="24"/>
                <w:highlight w:val="none"/>
              </w:rPr>
              <w:t>新建</w:t>
            </w:r>
            <w:r>
              <w:rPr>
                <w:rFonts w:ascii="Wingdings 2" w:hAnsi="Wingdings 2" w:eastAsia="Wingdings 2"/>
                <w:sz w:val="24"/>
                <w:highlight w:val="none"/>
              </w:rPr>
              <w:t></w:t>
            </w:r>
            <w:r>
              <w:rPr>
                <w:rFonts w:ascii="Times New Roman" w:hAnsi="Times New Roman" w:eastAsia="Times New Roman"/>
                <w:spacing w:val="57"/>
                <w:sz w:val="24"/>
                <w:highlight w:val="none"/>
              </w:rPr>
              <w:t xml:space="preserve"> </w:t>
            </w:r>
            <w:r>
              <w:rPr>
                <w:sz w:val="24"/>
                <w:highlight w:val="none"/>
              </w:rPr>
              <w:t>改扩建</w:t>
            </w:r>
            <w:r>
              <w:rPr>
                <w:rFonts w:ascii="Times New Roman" w:hAnsi="Times New Roman" w:eastAsia="Times New Roman"/>
                <w:spacing w:val="29"/>
                <w:sz w:val="24"/>
                <w:highlight w:val="none"/>
              </w:rPr>
              <w:t xml:space="preserve">□ </w:t>
            </w:r>
            <w:r>
              <w:rPr>
                <w:sz w:val="24"/>
                <w:highlight w:val="none"/>
              </w:rPr>
              <w:t>技改</w:t>
            </w:r>
            <w:r>
              <w:rPr>
                <w:rFonts w:ascii="Times New Roman" w:hAnsi="Times New Roman" w:eastAsia="Times New Roman"/>
                <w:sz w:val="24"/>
                <w:highlight w:val="none"/>
              </w:rPr>
              <w:t>□</w:t>
            </w:r>
          </w:p>
        </w:tc>
        <w:tc>
          <w:tcPr>
            <w:tcW w:w="1392" w:type="dxa"/>
            <w:gridSpan w:val="2"/>
            <w:tcBorders>
              <w:top w:val="single" w:color="000000" w:sz="4" w:space="0"/>
              <w:left w:val="single" w:color="000000" w:sz="4" w:space="0"/>
              <w:bottom w:val="single" w:color="000000" w:sz="4" w:space="0"/>
              <w:right w:val="single" w:color="000000" w:sz="4" w:space="0"/>
            </w:tcBorders>
            <w:vAlign w:val="center"/>
          </w:tcPr>
          <w:p w14:paraId="4EE003C2">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行业类别</w:t>
            </w:r>
          </w:p>
        </w:tc>
        <w:tc>
          <w:tcPr>
            <w:tcW w:w="2011" w:type="dxa"/>
            <w:gridSpan w:val="3"/>
            <w:tcBorders>
              <w:top w:val="single" w:color="000000" w:sz="4" w:space="0"/>
              <w:left w:val="single" w:color="000000" w:sz="4" w:space="0"/>
              <w:bottom w:val="single" w:color="000000" w:sz="4" w:space="0"/>
            </w:tcBorders>
            <w:vAlign w:val="center"/>
          </w:tcPr>
          <w:p w14:paraId="29161CEF">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eastAsia="Times New Roman"/>
                <w:sz w:val="24"/>
                <w:highlight w:val="none"/>
              </w:rPr>
            </w:pPr>
            <w:r>
              <w:rPr>
                <w:sz w:val="24"/>
                <w:highlight w:val="none"/>
              </w:rPr>
              <w:t>太阳能发电</w:t>
            </w:r>
            <w:r>
              <w:rPr>
                <w:rFonts w:ascii="Times New Roman" w:eastAsia="Times New Roman"/>
                <w:sz w:val="24"/>
                <w:highlight w:val="none"/>
              </w:rPr>
              <w:t>D-4416</w:t>
            </w:r>
          </w:p>
        </w:tc>
      </w:tr>
      <w:tr w14:paraId="33155C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vAlign w:val="center"/>
          </w:tcPr>
          <w:p w14:paraId="1B643C5F">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环境影响报告表</w:t>
            </w:r>
          </w:p>
          <w:p w14:paraId="5FDDA3BC">
            <w:pPr>
              <w:pStyle w:val="22"/>
              <w:keepNext w:val="0"/>
              <w:keepLines w:val="0"/>
              <w:pageBreakBefore w:val="0"/>
              <w:widowControl w:val="0"/>
              <w:kinsoku/>
              <w:wordWrap/>
              <w:overflowPunct/>
              <w:topLinePunct w:val="0"/>
              <w:autoSpaceDE w:val="0"/>
              <w:autoSpaceDN w:val="0"/>
              <w:bidi w:val="0"/>
              <w:adjustRightInd/>
              <w:snapToGrid/>
              <w:spacing w:before="0" w:line="290" w:lineRule="exact"/>
              <w:ind w:left="0" w:right="0"/>
              <w:jc w:val="center"/>
              <w:textAlignment w:val="auto"/>
              <w:rPr>
                <w:sz w:val="24"/>
                <w:highlight w:val="none"/>
              </w:rPr>
            </w:pPr>
            <w:r>
              <w:rPr>
                <w:sz w:val="24"/>
                <w:highlight w:val="none"/>
              </w:rPr>
              <w:t>名称</w:t>
            </w:r>
          </w:p>
        </w:tc>
        <w:tc>
          <w:tcPr>
            <w:tcW w:w="6430" w:type="dxa"/>
            <w:gridSpan w:val="7"/>
            <w:tcBorders>
              <w:top w:val="single" w:color="000000" w:sz="4" w:space="0"/>
              <w:left w:val="single" w:color="000000" w:sz="4" w:space="0"/>
              <w:bottom w:val="single" w:color="000000" w:sz="4" w:space="0"/>
            </w:tcBorders>
            <w:vAlign w:val="center"/>
          </w:tcPr>
          <w:p w14:paraId="13470B1C">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rFonts w:hint="eastAsia"/>
                <w:sz w:val="24"/>
                <w:highlight w:val="none"/>
                <w:lang w:eastAsia="zh-CN"/>
              </w:rPr>
              <w:t>台山鑫昊150MW渔光互补光伏发电项目</w:t>
            </w:r>
            <w:r>
              <w:rPr>
                <w:spacing w:val="-3"/>
                <w:sz w:val="24"/>
                <w:highlight w:val="none"/>
              </w:rPr>
              <w:t>建设项目环</w:t>
            </w:r>
          </w:p>
          <w:p w14:paraId="43745197">
            <w:pPr>
              <w:pStyle w:val="22"/>
              <w:keepNext w:val="0"/>
              <w:keepLines w:val="0"/>
              <w:pageBreakBefore w:val="0"/>
              <w:widowControl w:val="0"/>
              <w:kinsoku/>
              <w:wordWrap/>
              <w:overflowPunct/>
              <w:topLinePunct w:val="0"/>
              <w:autoSpaceDE w:val="0"/>
              <w:autoSpaceDN w:val="0"/>
              <w:bidi w:val="0"/>
              <w:adjustRightInd/>
              <w:snapToGrid/>
              <w:spacing w:before="0" w:line="290" w:lineRule="exact"/>
              <w:ind w:left="0" w:right="0"/>
              <w:jc w:val="center"/>
              <w:textAlignment w:val="auto"/>
              <w:rPr>
                <w:sz w:val="24"/>
                <w:highlight w:val="none"/>
              </w:rPr>
            </w:pPr>
            <w:r>
              <w:rPr>
                <w:sz w:val="24"/>
                <w:highlight w:val="none"/>
              </w:rPr>
              <w:t>境影响报告表</w:t>
            </w:r>
          </w:p>
        </w:tc>
      </w:tr>
      <w:tr w14:paraId="7808DB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vAlign w:val="center"/>
          </w:tcPr>
          <w:p w14:paraId="4EEA19C4">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环境影响评价单</w:t>
            </w:r>
          </w:p>
          <w:p w14:paraId="1A1BE21B">
            <w:pPr>
              <w:pStyle w:val="22"/>
              <w:keepNext w:val="0"/>
              <w:keepLines w:val="0"/>
              <w:pageBreakBefore w:val="0"/>
              <w:widowControl w:val="0"/>
              <w:kinsoku/>
              <w:wordWrap/>
              <w:overflowPunct/>
              <w:topLinePunct w:val="0"/>
              <w:autoSpaceDE w:val="0"/>
              <w:autoSpaceDN w:val="0"/>
              <w:bidi w:val="0"/>
              <w:adjustRightInd/>
              <w:snapToGrid/>
              <w:spacing w:before="0" w:line="291" w:lineRule="exact"/>
              <w:ind w:left="0" w:right="0"/>
              <w:jc w:val="center"/>
              <w:textAlignment w:val="auto"/>
              <w:rPr>
                <w:sz w:val="24"/>
                <w:highlight w:val="none"/>
              </w:rPr>
            </w:pPr>
            <w:r>
              <w:rPr>
                <w:sz w:val="24"/>
                <w:highlight w:val="none"/>
              </w:rPr>
              <w:t>位</w:t>
            </w:r>
          </w:p>
        </w:tc>
        <w:tc>
          <w:tcPr>
            <w:tcW w:w="6430" w:type="dxa"/>
            <w:gridSpan w:val="7"/>
            <w:tcBorders>
              <w:top w:val="single" w:color="000000" w:sz="4" w:space="0"/>
              <w:left w:val="single" w:color="000000" w:sz="4" w:space="0"/>
              <w:bottom w:val="single" w:color="000000" w:sz="4" w:space="0"/>
            </w:tcBorders>
            <w:vAlign w:val="center"/>
          </w:tcPr>
          <w:p w14:paraId="40AF0DA9">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rFonts w:hint="eastAsia"/>
                <w:sz w:val="24"/>
                <w:highlight w:val="none"/>
                <w:lang w:val="en-US" w:eastAsia="zh-CN"/>
              </w:rPr>
              <w:t>江门市泰邦环保</w:t>
            </w:r>
            <w:r>
              <w:rPr>
                <w:sz w:val="24"/>
                <w:highlight w:val="none"/>
              </w:rPr>
              <w:t>有限公司</w:t>
            </w:r>
          </w:p>
        </w:tc>
      </w:tr>
      <w:tr w14:paraId="5E5616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shd w:val="clear" w:color="auto" w:fill="auto"/>
            <w:vAlign w:val="center"/>
          </w:tcPr>
          <w:p w14:paraId="3DFCBF3D">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初步设计单位</w:t>
            </w:r>
          </w:p>
        </w:tc>
        <w:tc>
          <w:tcPr>
            <w:tcW w:w="6430" w:type="dxa"/>
            <w:gridSpan w:val="7"/>
            <w:tcBorders>
              <w:top w:val="single" w:color="000000" w:sz="4" w:space="0"/>
              <w:left w:val="single" w:color="000000" w:sz="4" w:space="0"/>
              <w:bottom w:val="single" w:color="000000" w:sz="4" w:space="0"/>
            </w:tcBorders>
            <w:shd w:val="clear" w:color="auto" w:fill="auto"/>
            <w:vAlign w:val="center"/>
          </w:tcPr>
          <w:p w14:paraId="4B40912E">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rFonts w:hint="eastAsia"/>
                <w:sz w:val="24"/>
                <w:highlight w:val="none"/>
              </w:rPr>
              <w:t>信息产业电子第十一设计研究院科技工程股份有限公司</w:t>
            </w:r>
          </w:p>
        </w:tc>
      </w:tr>
      <w:tr w14:paraId="180D73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shd w:val="clear" w:color="auto" w:fill="auto"/>
            <w:vAlign w:val="center"/>
          </w:tcPr>
          <w:p w14:paraId="15C19BB4">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环境影响评价审</w:t>
            </w:r>
          </w:p>
          <w:p w14:paraId="565E1A23">
            <w:pPr>
              <w:pStyle w:val="22"/>
              <w:keepNext w:val="0"/>
              <w:keepLines w:val="0"/>
              <w:pageBreakBefore w:val="0"/>
              <w:widowControl w:val="0"/>
              <w:kinsoku/>
              <w:wordWrap/>
              <w:overflowPunct/>
              <w:topLinePunct w:val="0"/>
              <w:autoSpaceDE w:val="0"/>
              <w:autoSpaceDN w:val="0"/>
              <w:bidi w:val="0"/>
              <w:adjustRightInd/>
              <w:snapToGrid/>
              <w:spacing w:before="0" w:line="289" w:lineRule="exact"/>
              <w:ind w:left="0" w:right="0"/>
              <w:jc w:val="center"/>
              <w:textAlignment w:val="auto"/>
              <w:rPr>
                <w:sz w:val="24"/>
                <w:highlight w:val="none"/>
              </w:rPr>
            </w:pPr>
            <w:r>
              <w:rPr>
                <w:sz w:val="24"/>
                <w:highlight w:val="none"/>
              </w:rPr>
              <w:t>批部门</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A28F">
            <w:pPr>
              <w:pStyle w:val="22"/>
              <w:keepNext w:val="0"/>
              <w:keepLines w:val="0"/>
              <w:pageBreakBefore w:val="0"/>
              <w:widowControl w:val="0"/>
              <w:kinsoku/>
              <w:wordWrap/>
              <w:overflowPunct/>
              <w:topLinePunct w:val="0"/>
              <w:autoSpaceDE w:val="0"/>
              <w:autoSpaceDN w:val="0"/>
              <w:bidi w:val="0"/>
              <w:adjustRightInd/>
              <w:snapToGrid/>
              <w:spacing w:before="0" w:line="289" w:lineRule="exact"/>
              <w:ind w:left="0" w:right="0"/>
              <w:jc w:val="center"/>
              <w:textAlignment w:val="auto"/>
              <w:rPr>
                <w:rFonts w:hint="default" w:eastAsia="宋体"/>
                <w:sz w:val="24"/>
                <w:highlight w:val="none"/>
                <w:lang w:val="en-US" w:eastAsia="zh-CN"/>
              </w:rPr>
            </w:pPr>
            <w:r>
              <w:rPr>
                <w:rFonts w:hint="eastAsia"/>
                <w:sz w:val="24"/>
                <w:highlight w:val="none"/>
                <w:lang w:val="en-US" w:eastAsia="zh-CN"/>
              </w:rPr>
              <w:t>江门市生态环境局台山分局</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392C">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文号</w:t>
            </w:r>
          </w:p>
        </w:tc>
        <w:tc>
          <w:tcPr>
            <w:tcW w:w="13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4D7366">
            <w:pPr>
              <w:pStyle w:val="22"/>
              <w:keepNext w:val="0"/>
              <w:keepLines w:val="0"/>
              <w:pageBreakBefore w:val="0"/>
              <w:widowControl w:val="0"/>
              <w:kinsoku/>
              <w:wordWrap/>
              <w:overflowPunct/>
              <w:topLinePunct w:val="0"/>
              <w:autoSpaceDE w:val="0"/>
              <w:autoSpaceDN w:val="0"/>
              <w:bidi w:val="0"/>
              <w:adjustRightInd/>
              <w:snapToGrid/>
              <w:spacing w:before="0" w:line="289" w:lineRule="exact"/>
              <w:ind w:left="0" w:right="0"/>
              <w:jc w:val="center"/>
              <w:textAlignment w:val="auto"/>
              <w:rPr>
                <w:rFonts w:hint="eastAsia" w:eastAsia="宋体"/>
                <w:sz w:val="24"/>
                <w:highlight w:val="none"/>
                <w:lang w:eastAsia="zh-CN"/>
              </w:rPr>
            </w:pPr>
            <w:bookmarkStart w:id="0" w:name="OLE_LINK2"/>
            <w:r>
              <w:rPr>
                <w:rFonts w:hint="eastAsia"/>
                <w:sz w:val="24"/>
                <w:highlight w:val="none"/>
                <w:lang w:eastAsia="zh-CN"/>
              </w:rPr>
              <w:t>江台环审﹝2021﹞21号</w:t>
            </w:r>
            <w:bookmarkEnd w:id="0"/>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626D4D">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时间</w:t>
            </w:r>
          </w:p>
        </w:tc>
        <w:tc>
          <w:tcPr>
            <w:tcW w:w="979" w:type="dxa"/>
            <w:tcBorders>
              <w:top w:val="single" w:color="000000" w:sz="4" w:space="0"/>
              <w:left w:val="single" w:color="000000" w:sz="4" w:space="0"/>
              <w:bottom w:val="single" w:color="000000" w:sz="4" w:space="0"/>
            </w:tcBorders>
            <w:shd w:val="clear" w:color="auto" w:fill="auto"/>
            <w:vAlign w:val="center"/>
          </w:tcPr>
          <w:p w14:paraId="1ACBE76A">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eastAsia="宋体"/>
                <w:sz w:val="24"/>
                <w:highlight w:val="none"/>
                <w:lang w:val="en-US" w:eastAsia="zh-CN"/>
              </w:rPr>
            </w:pPr>
            <w:r>
              <w:rPr>
                <w:rFonts w:ascii="Times New Roman"/>
                <w:sz w:val="24"/>
                <w:highlight w:val="none"/>
              </w:rPr>
              <w:t>20</w:t>
            </w:r>
            <w:r>
              <w:rPr>
                <w:rFonts w:hint="eastAsia" w:ascii="Times New Roman"/>
                <w:sz w:val="24"/>
                <w:highlight w:val="none"/>
                <w:lang w:val="en-US" w:eastAsia="zh-CN"/>
              </w:rPr>
              <w:t>21.6.3</w:t>
            </w:r>
          </w:p>
        </w:tc>
      </w:tr>
      <w:tr w14:paraId="7CED48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shd w:val="clear" w:color="auto" w:fill="auto"/>
            <w:vAlign w:val="center"/>
          </w:tcPr>
          <w:p w14:paraId="5C7BF36C">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初步设计审批部</w:t>
            </w:r>
          </w:p>
          <w:p w14:paraId="616EB815">
            <w:pPr>
              <w:pStyle w:val="22"/>
              <w:keepNext w:val="0"/>
              <w:keepLines w:val="0"/>
              <w:pageBreakBefore w:val="0"/>
              <w:widowControl w:val="0"/>
              <w:kinsoku/>
              <w:wordWrap/>
              <w:overflowPunct/>
              <w:topLinePunct w:val="0"/>
              <w:autoSpaceDE w:val="0"/>
              <w:autoSpaceDN w:val="0"/>
              <w:bidi w:val="0"/>
              <w:adjustRightInd/>
              <w:snapToGrid/>
              <w:spacing w:before="0" w:line="290" w:lineRule="exact"/>
              <w:ind w:left="0" w:right="0"/>
              <w:jc w:val="center"/>
              <w:textAlignment w:val="auto"/>
              <w:rPr>
                <w:sz w:val="24"/>
                <w:highlight w:val="none"/>
              </w:rPr>
            </w:pPr>
            <w:r>
              <w:rPr>
                <w:sz w:val="24"/>
                <w:highlight w:val="none"/>
              </w:rPr>
              <w:t>门</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880D">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4"/>
                <w:highlight w:val="none"/>
              </w:rPr>
            </w:pPr>
            <w:r>
              <w:rPr>
                <w:rFonts w:ascii="Times New Roman"/>
                <w:sz w:val="24"/>
                <w:highlight w:val="none"/>
              </w:rPr>
              <w:t>/</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6D9F0">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文号</w:t>
            </w:r>
          </w:p>
        </w:tc>
        <w:tc>
          <w:tcPr>
            <w:tcW w:w="13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27C24E">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4"/>
                <w:highlight w:val="none"/>
              </w:rPr>
            </w:pPr>
            <w:r>
              <w:rPr>
                <w:rFonts w:ascii="Times New Roman"/>
                <w:sz w:val="24"/>
                <w:highlight w:val="none"/>
              </w:rPr>
              <w:t>/</w:t>
            </w:r>
          </w:p>
        </w:tc>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92E8E1">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时间</w:t>
            </w:r>
          </w:p>
        </w:tc>
        <w:tc>
          <w:tcPr>
            <w:tcW w:w="979" w:type="dxa"/>
            <w:tcBorders>
              <w:top w:val="single" w:color="000000" w:sz="4" w:space="0"/>
              <w:left w:val="single" w:color="000000" w:sz="4" w:space="0"/>
              <w:bottom w:val="single" w:color="000000" w:sz="4" w:space="0"/>
            </w:tcBorders>
            <w:shd w:val="clear" w:color="auto" w:fill="auto"/>
            <w:vAlign w:val="center"/>
          </w:tcPr>
          <w:p w14:paraId="10F06F5A">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4"/>
                <w:highlight w:val="none"/>
              </w:rPr>
            </w:pPr>
            <w:r>
              <w:rPr>
                <w:rFonts w:ascii="Times New Roman"/>
                <w:sz w:val="24"/>
                <w:highlight w:val="none"/>
              </w:rPr>
              <w:t>/</w:t>
            </w:r>
          </w:p>
        </w:tc>
      </w:tr>
      <w:tr w14:paraId="34ECBA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shd w:val="clear" w:color="auto" w:fill="auto"/>
            <w:vAlign w:val="center"/>
          </w:tcPr>
          <w:p w14:paraId="6A5E3C25">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环境保护设施设</w:t>
            </w:r>
          </w:p>
          <w:p w14:paraId="09DC7ADC">
            <w:pPr>
              <w:pStyle w:val="22"/>
              <w:keepNext w:val="0"/>
              <w:keepLines w:val="0"/>
              <w:pageBreakBefore w:val="0"/>
              <w:widowControl w:val="0"/>
              <w:kinsoku/>
              <w:wordWrap/>
              <w:overflowPunct/>
              <w:topLinePunct w:val="0"/>
              <w:autoSpaceDE w:val="0"/>
              <w:autoSpaceDN w:val="0"/>
              <w:bidi w:val="0"/>
              <w:adjustRightInd/>
              <w:snapToGrid/>
              <w:spacing w:before="0" w:line="289" w:lineRule="exact"/>
              <w:ind w:left="0" w:right="0"/>
              <w:jc w:val="center"/>
              <w:textAlignment w:val="auto"/>
              <w:rPr>
                <w:sz w:val="24"/>
                <w:highlight w:val="none"/>
              </w:rPr>
            </w:pPr>
            <w:r>
              <w:rPr>
                <w:sz w:val="24"/>
                <w:highlight w:val="none"/>
              </w:rPr>
              <w:t>计单位</w:t>
            </w:r>
          </w:p>
        </w:tc>
        <w:tc>
          <w:tcPr>
            <w:tcW w:w="6430" w:type="dxa"/>
            <w:gridSpan w:val="7"/>
            <w:tcBorders>
              <w:top w:val="single" w:color="000000" w:sz="4" w:space="0"/>
              <w:left w:val="single" w:color="000000" w:sz="4" w:space="0"/>
              <w:bottom w:val="single" w:color="000000" w:sz="4" w:space="0"/>
            </w:tcBorders>
            <w:shd w:val="clear" w:color="auto" w:fill="auto"/>
            <w:vAlign w:val="center"/>
          </w:tcPr>
          <w:p w14:paraId="3C48091A">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rFonts w:hint="eastAsia"/>
                <w:sz w:val="24"/>
                <w:highlight w:val="none"/>
              </w:rPr>
              <w:t>信息产业电子第十一设计研究院科技工程股份有限公司</w:t>
            </w:r>
          </w:p>
        </w:tc>
      </w:tr>
      <w:tr w14:paraId="49F14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shd w:val="clear" w:color="auto" w:fill="auto"/>
            <w:vAlign w:val="center"/>
          </w:tcPr>
          <w:p w14:paraId="7281AAEF">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环境保护设施施</w:t>
            </w:r>
          </w:p>
          <w:p w14:paraId="78B132FE">
            <w:pPr>
              <w:pStyle w:val="22"/>
              <w:keepNext w:val="0"/>
              <w:keepLines w:val="0"/>
              <w:pageBreakBefore w:val="0"/>
              <w:widowControl w:val="0"/>
              <w:kinsoku/>
              <w:wordWrap/>
              <w:overflowPunct/>
              <w:topLinePunct w:val="0"/>
              <w:autoSpaceDE w:val="0"/>
              <w:autoSpaceDN w:val="0"/>
              <w:bidi w:val="0"/>
              <w:adjustRightInd/>
              <w:snapToGrid/>
              <w:spacing w:before="0" w:line="290" w:lineRule="exact"/>
              <w:ind w:left="0" w:right="0"/>
              <w:jc w:val="center"/>
              <w:textAlignment w:val="auto"/>
              <w:rPr>
                <w:sz w:val="24"/>
                <w:highlight w:val="none"/>
              </w:rPr>
            </w:pPr>
            <w:r>
              <w:rPr>
                <w:sz w:val="24"/>
                <w:highlight w:val="none"/>
              </w:rPr>
              <w:t>工单位</w:t>
            </w:r>
          </w:p>
        </w:tc>
        <w:tc>
          <w:tcPr>
            <w:tcW w:w="6430" w:type="dxa"/>
            <w:gridSpan w:val="7"/>
            <w:tcBorders>
              <w:top w:val="single" w:color="000000" w:sz="4" w:space="0"/>
              <w:left w:val="single" w:color="000000" w:sz="4" w:space="0"/>
              <w:bottom w:val="single" w:color="000000" w:sz="4" w:space="0"/>
            </w:tcBorders>
            <w:shd w:val="clear" w:color="auto" w:fill="auto"/>
            <w:vAlign w:val="center"/>
          </w:tcPr>
          <w:p w14:paraId="4124BAC3">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rFonts w:hint="default" w:ascii="Times New Roman" w:hAnsi="Times New Roman" w:eastAsia="宋体" w:cs="Times New Roman"/>
                <w:sz w:val="24"/>
                <w:szCs w:val="24"/>
                <w:highlight w:val="none"/>
              </w:rPr>
              <w:t>台山市鑫昊新能源有限公司</w:t>
            </w:r>
          </w:p>
        </w:tc>
      </w:tr>
      <w:tr w14:paraId="3628F8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shd w:val="clear" w:color="auto" w:fill="auto"/>
            <w:vAlign w:val="center"/>
          </w:tcPr>
          <w:p w14:paraId="31149360">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环境保护设施监</w:t>
            </w:r>
          </w:p>
          <w:p w14:paraId="699CD545">
            <w:pPr>
              <w:pStyle w:val="22"/>
              <w:keepNext w:val="0"/>
              <w:keepLines w:val="0"/>
              <w:pageBreakBefore w:val="0"/>
              <w:widowControl w:val="0"/>
              <w:kinsoku/>
              <w:wordWrap/>
              <w:overflowPunct/>
              <w:topLinePunct w:val="0"/>
              <w:autoSpaceDE w:val="0"/>
              <w:autoSpaceDN w:val="0"/>
              <w:bidi w:val="0"/>
              <w:adjustRightInd/>
              <w:snapToGrid/>
              <w:spacing w:before="0" w:line="289" w:lineRule="exact"/>
              <w:ind w:left="0" w:right="0"/>
              <w:jc w:val="center"/>
              <w:textAlignment w:val="auto"/>
              <w:rPr>
                <w:sz w:val="24"/>
                <w:highlight w:val="none"/>
              </w:rPr>
            </w:pPr>
            <w:r>
              <w:rPr>
                <w:sz w:val="24"/>
                <w:highlight w:val="none"/>
              </w:rPr>
              <w:t>测单位</w:t>
            </w:r>
          </w:p>
        </w:tc>
        <w:tc>
          <w:tcPr>
            <w:tcW w:w="6430" w:type="dxa"/>
            <w:gridSpan w:val="7"/>
            <w:tcBorders>
              <w:top w:val="single" w:color="000000" w:sz="4" w:space="0"/>
              <w:left w:val="single" w:color="000000" w:sz="4" w:space="0"/>
              <w:bottom w:val="single" w:color="000000" w:sz="4" w:space="0"/>
            </w:tcBorders>
            <w:shd w:val="clear" w:color="auto" w:fill="auto"/>
            <w:vAlign w:val="center"/>
          </w:tcPr>
          <w:p w14:paraId="6913906B">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rFonts w:hint="eastAsia"/>
                <w:sz w:val="24"/>
                <w:highlight w:val="none"/>
              </w:rPr>
              <w:t>广东乾达检测技术有限公司</w:t>
            </w:r>
          </w:p>
        </w:tc>
      </w:tr>
      <w:tr w14:paraId="62DB86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shd w:val="clear" w:color="auto" w:fill="auto"/>
            <w:vAlign w:val="center"/>
          </w:tcPr>
          <w:p w14:paraId="05E6A6B2">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投资总概算</w:t>
            </w:r>
          </w:p>
          <w:p w14:paraId="288F9BE2">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（万元）</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4486">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eastAsia="宋体"/>
                <w:sz w:val="24"/>
                <w:highlight w:val="none"/>
                <w:lang w:val="en-US" w:eastAsia="zh-CN"/>
              </w:rPr>
            </w:pPr>
            <w:r>
              <w:rPr>
                <w:rFonts w:hint="eastAsia" w:ascii="Times New Roman"/>
                <w:sz w:val="24"/>
                <w:highlight w:val="none"/>
                <w:lang w:val="en-US" w:eastAsia="zh-CN"/>
              </w:rPr>
              <w:t>61290</w:t>
            </w: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C3737">
            <w:pPr>
              <w:pStyle w:val="22"/>
              <w:keepNext w:val="0"/>
              <w:keepLines w:val="0"/>
              <w:pageBreakBefore w:val="0"/>
              <w:widowControl w:val="0"/>
              <w:kinsoku/>
              <w:wordWrap/>
              <w:overflowPunct/>
              <w:topLinePunct w:val="0"/>
              <w:autoSpaceDE w:val="0"/>
              <w:autoSpaceDN w:val="0"/>
              <w:bidi w:val="0"/>
              <w:adjustRightInd/>
              <w:snapToGrid/>
              <w:spacing w:before="0" w:line="242" w:lineRule="auto"/>
              <w:ind w:left="0" w:right="0" w:hanging="120"/>
              <w:jc w:val="center"/>
              <w:textAlignment w:val="auto"/>
              <w:rPr>
                <w:sz w:val="24"/>
                <w:highlight w:val="none"/>
              </w:rPr>
            </w:pPr>
            <w:r>
              <w:rPr>
                <w:sz w:val="24"/>
                <w:highlight w:val="none"/>
              </w:rPr>
              <w:t>其中：环境保护投资（万元）</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74FE7">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eastAsia="宋体"/>
                <w:sz w:val="24"/>
                <w:highlight w:val="none"/>
                <w:lang w:val="en-US" w:eastAsia="zh-CN"/>
              </w:rPr>
            </w:pPr>
            <w:r>
              <w:rPr>
                <w:rFonts w:hint="eastAsia" w:ascii="Times New Roman"/>
                <w:sz w:val="24"/>
                <w:highlight w:val="none"/>
                <w:lang w:val="en-US" w:eastAsia="zh-CN"/>
              </w:rPr>
              <w:t>20</w:t>
            </w:r>
          </w:p>
        </w:tc>
        <w:tc>
          <w:tcPr>
            <w:tcW w:w="103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47D6D2">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b/>
                <w:sz w:val="25"/>
                <w:highlight w:val="none"/>
              </w:rPr>
            </w:pPr>
          </w:p>
          <w:p w14:paraId="1B0C2389">
            <w:pPr>
              <w:pStyle w:val="22"/>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sz w:val="24"/>
                <w:highlight w:val="none"/>
              </w:rPr>
            </w:pPr>
            <w:r>
              <w:rPr>
                <w:sz w:val="24"/>
                <w:highlight w:val="none"/>
              </w:rPr>
              <w:t>实际环境保护投资占总投资比例</w:t>
            </w:r>
          </w:p>
        </w:tc>
        <w:tc>
          <w:tcPr>
            <w:tcW w:w="979" w:type="dxa"/>
            <w:tcBorders>
              <w:top w:val="single" w:color="000000" w:sz="4" w:space="0"/>
              <w:left w:val="single" w:color="000000" w:sz="4" w:space="0"/>
              <w:bottom w:val="single" w:color="000000" w:sz="4" w:space="0"/>
            </w:tcBorders>
            <w:shd w:val="clear" w:color="auto" w:fill="auto"/>
            <w:vAlign w:val="center"/>
          </w:tcPr>
          <w:p w14:paraId="6D3EC530">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4"/>
                <w:highlight w:val="none"/>
              </w:rPr>
            </w:pPr>
            <w:r>
              <w:rPr>
                <w:rFonts w:ascii="Times New Roman"/>
                <w:sz w:val="24"/>
                <w:highlight w:val="none"/>
              </w:rPr>
              <w:t>0.</w:t>
            </w:r>
            <w:r>
              <w:rPr>
                <w:rFonts w:hint="eastAsia" w:ascii="Times New Roman"/>
                <w:sz w:val="24"/>
                <w:highlight w:val="none"/>
                <w:lang w:val="en-US" w:eastAsia="zh-CN"/>
              </w:rPr>
              <w:t>03</w:t>
            </w:r>
            <w:r>
              <w:rPr>
                <w:rFonts w:ascii="Times New Roman"/>
                <w:sz w:val="24"/>
                <w:highlight w:val="none"/>
              </w:rPr>
              <w:t>%</w:t>
            </w:r>
          </w:p>
        </w:tc>
      </w:tr>
      <w:tr w14:paraId="2BB182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shd w:val="clear" w:color="auto" w:fill="auto"/>
            <w:vAlign w:val="center"/>
          </w:tcPr>
          <w:p w14:paraId="42770B97">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实际总投资</w:t>
            </w:r>
          </w:p>
          <w:p w14:paraId="6B70D071">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（万元）</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5706">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eastAsia="宋体"/>
                <w:sz w:val="24"/>
                <w:highlight w:val="none"/>
                <w:lang w:val="en-US" w:eastAsia="zh-CN"/>
              </w:rPr>
            </w:pPr>
            <w:r>
              <w:rPr>
                <w:rFonts w:hint="eastAsia" w:ascii="Times New Roman"/>
                <w:sz w:val="24"/>
                <w:highlight w:val="none"/>
                <w:lang w:val="en-US" w:eastAsia="zh-CN"/>
              </w:rPr>
              <w:t>49032</w:t>
            </w: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4D70F6">
            <w:pPr>
              <w:pStyle w:val="22"/>
              <w:keepNext w:val="0"/>
              <w:keepLines w:val="0"/>
              <w:pageBreakBefore w:val="0"/>
              <w:widowControl w:val="0"/>
              <w:kinsoku/>
              <w:wordWrap/>
              <w:overflowPunct/>
              <w:topLinePunct w:val="0"/>
              <w:autoSpaceDE w:val="0"/>
              <w:autoSpaceDN w:val="0"/>
              <w:bidi w:val="0"/>
              <w:adjustRightInd/>
              <w:snapToGrid/>
              <w:spacing w:before="0" w:line="242" w:lineRule="auto"/>
              <w:ind w:left="0" w:right="0" w:hanging="120"/>
              <w:jc w:val="center"/>
              <w:textAlignment w:val="auto"/>
              <w:rPr>
                <w:sz w:val="24"/>
                <w:highlight w:val="none"/>
              </w:rPr>
            </w:pPr>
            <w:r>
              <w:rPr>
                <w:sz w:val="24"/>
                <w:highlight w:val="none"/>
              </w:rPr>
              <w:t>其中：环境保护投资（万元）</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4832">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eastAsia="宋体"/>
                <w:sz w:val="24"/>
                <w:highlight w:val="none"/>
                <w:lang w:val="en-US" w:eastAsia="zh-CN"/>
              </w:rPr>
            </w:pPr>
            <w:r>
              <w:rPr>
                <w:rFonts w:hint="eastAsia" w:ascii="Times New Roman"/>
                <w:sz w:val="24"/>
                <w:highlight w:val="none"/>
                <w:lang w:val="en-US" w:eastAsia="zh-CN"/>
              </w:rPr>
              <w:t>14.7</w:t>
            </w:r>
          </w:p>
        </w:tc>
        <w:tc>
          <w:tcPr>
            <w:tcW w:w="1032" w:type="dxa"/>
            <w:gridSpan w:val="2"/>
            <w:vMerge w:val="continue"/>
            <w:tcBorders>
              <w:top w:val="nil"/>
              <w:left w:val="single" w:color="000000" w:sz="4" w:space="0"/>
              <w:bottom w:val="single" w:color="000000" w:sz="4" w:space="0"/>
              <w:right w:val="single" w:color="000000" w:sz="4" w:space="0"/>
            </w:tcBorders>
            <w:shd w:val="clear" w:color="auto" w:fill="auto"/>
            <w:vAlign w:val="center"/>
          </w:tcPr>
          <w:p w14:paraId="26AB3553">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
                <w:szCs w:val="2"/>
                <w:highlight w:val="none"/>
              </w:rPr>
            </w:pPr>
          </w:p>
        </w:tc>
        <w:tc>
          <w:tcPr>
            <w:tcW w:w="979" w:type="dxa"/>
            <w:tcBorders>
              <w:top w:val="single" w:color="000000" w:sz="4" w:space="0"/>
              <w:left w:val="single" w:color="000000" w:sz="4" w:space="0"/>
              <w:bottom w:val="single" w:color="000000" w:sz="4" w:space="0"/>
            </w:tcBorders>
            <w:shd w:val="clear" w:color="auto" w:fill="auto"/>
            <w:vAlign w:val="center"/>
          </w:tcPr>
          <w:p w14:paraId="00CED452">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4"/>
                <w:highlight w:val="none"/>
              </w:rPr>
            </w:pPr>
            <w:r>
              <w:rPr>
                <w:rFonts w:ascii="Times New Roman"/>
                <w:sz w:val="24"/>
                <w:highlight w:val="none"/>
              </w:rPr>
              <w:t>0.</w:t>
            </w:r>
            <w:r>
              <w:rPr>
                <w:rFonts w:hint="eastAsia" w:ascii="Times New Roman"/>
                <w:sz w:val="24"/>
                <w:highlight w:val="none"/>
                <w:lang w:val="en-US" w:eastAsia="zh-CN"/>
              </w:rPr>
              <w:t>03</w:t>
            </w:r>
            <w:r>
              <w:rPr>
                <w:rFonts w:ascii="Times New Roman"/>
                <w:sz w:val="24"/>
                <w:highlight w:val="none"/>
              </w:rPr>
              <w:t>%</w:t>
            </w:r>
            <w:bookmarkStart w:id="5" w:name="_GoBack"/>
            <w:bookmarkEnd w:id="5"/>
          </w:p>
        </w:tc>
      </w:tr>
      <w:tr w14:paraId="01DAD0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shd w:val="clear" w:color="auto" w:fill="auto"/>
            <w:vAlign w:val="center"/>
          </w:tcPr>
          <w:p w14:paraId="745FF494">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设计生产能力</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F9DF0">
            <w:pPr>
              <w:pStyle w:val="22"/>
              <w:keepNext w:val="0"/>
              <w:keepLines w:val="0"/>
              <w:pageBreakBefore w:val="0"/>
              <w:widowControl w:val="0"/>
              <w:kinsoku/>
              <w:wordWrap/>
              <w:overflowPunct/>
              <w:topLinePunct w:val="0"/>
              <w:autoSpaceDE w:val="0"/>
              <w:autoSpaceDN w:val="0"/>
              <w:bidi w:val="0"/>
              <w:adjustRightInd/>
              <w:snapToGrid/>
              <w:spacing w:before="0"/>
              <w:ind w:left="0" w:right="0" w:firstLine="0"/>
              <w:jc w:val="center"/>
              <w:textAlignment w:val="auto"/>
              <w:rPr>
                <w:rFonts w:ascii="Times New Roman" w:eastAsia="Times New Roman"/>
                <w:sz w:val="24"/>
                <w:highlight w:val="none"/>
              </w:rPr>
            </w:pPr>
            <w:r>
              <w:rPr>
                <w:sz w:val="24"/>
                <w:highlight w:val="none"/>
              </w:rPr>
              <w:t>光伏发电150MWp</w:t>
            </w:r>
          </w:p>
        </w:tc>
        <w:tc>
          <w:tcPr>
            <w:tcW w:w="29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D260B1">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建设项目开工日期</w:t>
            </w:r>
          </w:p>
        </w:tc>
        <w:tc>
          <w:tcPr>
            <w:tcW w:w="2011" w:type="dxa"/>
            <w:gridSpan w:val="3"/>
            <w:tcBorders>
              <w:top w:val="single" w:color="000000" w:sz="4" w:space="0"/>
              <w:left w:val="single" w:color="000000" w:sz="4" w:space="0"/>
              <w:bottom w:val="single" w:color="000000" w:sz="4" w:space="0"/>
            </w:tcBorders>
            <w:shd w:val="clear" w:color="auto" w:fill="auto"/>
            <w:vAlign w:val="center"/>
          </w:tcPr>
          <w:p w14:paraId="35427325">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rFonts w:ascii="Times New Roman" w:eastAsia="Times New Roman"/>
                <w:sz w:val="24"/>
                <w:highlight w:val="none"/>
              </w:rPr>
              <w:t>2</w:t>
            </w:r>
            <w:r>
              <w:rPr>
                <w:rFonts w:hint="eastAsia" w:ascii="Times New Roman" w:eastAsia="宋体"/>
                <w:sz w:val="24"/>
                <w:highlight w:val="none"/>
                <w:lang w:val="en-US" w:eastAsia="zh-CN"/>
              </w:rPr>
              <w:t>023</w:t>
            </w:r>
            <w:r>
              <w:rPr>
                <w:sz w:val="24"/>
                <w:highlight w:val="none"/>
              </w:rPr>
              <w:t>年</w:t>
            </w:r>
            <w:r>
              <w:rPr>
                <w:rFonts w:ascii="Times New Roman" w:eastAsia="Times New Roman"/>
                <w:sz w:val="24"/>
                <w:highlight w:val="none"/>
              </w:rPr>
              <w:t>6</w:t>
            </w:r>
            <w:r>
              <w:rPr>
                <w:sz w:val="24"/>
                <w:highlight w:val="none"/>
              </w:rPr>
              <w:t>月</w:t>
            </w:r>
          </w:p>
        </w:tc>
      </w:tr>
      <w:tr w14:paraId="56FADA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shd w:val="clear" w:color="auto" w:fill="auto"/>
            <w:vAlign w:val="center"/>
          </w:tcPr>
          <w:p w14:paraId="72505457">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实际生产能力</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D6330">
            <w:pPr>
              <w:pStyle w:val="22"/>
              <w:keepNext w:val="0"/>
              <w:keepLines w:val="0"/>
              <w:pageBreakBefore w:val="0"/>
              <w:widowControl w:val="0"/>
              <w:kinsoku/>
              <w:wordWrap/>
              <w:overflowPunct/>
              <w:topLinePunct w:val="0"/>
              <w:autoSpaceDE w:val="0"/>
              <w:autoSpaceDN w:val="0"/>
              <w:bidi w:val="0"/>
              <w:adjustRightInd/>
              <w:snapToGrid/>
              <w:spacing w:before="0"/>
              <w:ind w:left="0" w:right="0" w:firstLine="0"/>
              <w:jc w:val="center"/>
              <w:textAlignment w:val="auto"/>
              <w:rPr>
                <w:rFonts w:ascii="Times New Roman" w:eastAsia="Times New Roman"/>
                <w:sz w:val="24"/>
                <w:highlight w:val="none"/>
              </w:rPr>
            </w:pPr>
            <w:r>
              <w:rPr>
                <w:sz w:val="24"/>
                <w:highlight w:val="none"/>
              </w:rPr>
              <w:t>光伏发电1</w:t>
            </w:r>
            <w:r>
              <w:rPr>
                <w:rFonts w:hint="eastAsia"/>
                <w:sz w:val="24"/>
                <w:highlight w:val="none"/>
                <w:lang w:val="en-US" w:eastAsia="zh-CN"/>
              </w:rPr>
              <w:t>2</w:t>
            </w:r>
            <w:r>
              <w:rPr>
                <w:sz w:val="24"/>
                <w:highlight w:val="none"/>
              </w:rPr>
              <w:t>0MWp</w:t>
            </w:r>
          </w:p>
        </w:tc>
        <w:tc>
          <w:tcPr>
            <w:tcW w:w="29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63007E">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竣工日期</w:t>
            </w:r>
          </w:p>
        </w:tc>
        <w:tc>
          <w:tcPr>
            <w:tcW w:w="2011" w:type="dxa"/>
            <w:gridSpan w:val="3"/>
            <w:tcBorders>
              <w:top w:val="single" w:color="000000" w:sz="4" w:space="0"/>
              <w:left w:val="single" w:color="000000" w:sz="4" w:space="0"/>
              <w:bottom w:val="single" w:color="000000" w:sz="4" w:space="0"/>
            </w:tcBorders>
            <w:shd w:val="clear" w:color="auto" w:fill="auto"/>
            <w:vAlign w:val="center"/>
          </w:tcPr>
          <w:p w14:paraId="244404C5">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rFonts w:ascii="Times New Roman" w:eastAsia="Times New Roman"/>
                <w:sz w:val="24"/>
                <w:highlight w:val="none"/>
                <w:shd w:val="clear"/>
              </w:rPr>
              <w:t>202</w:t>
            </w:r>
            <w:r>
              <w:rPr>
                <w:rFonts w:hint="eastAsia" w:ascii="Times New Roman" w:eastAsia="宋体"/>
                <w:sz w:val="24"/>
                <w:highlight w:val="none"/>
                <w:shd w:val="clear"/>
                <w:lang w:val="en-US" w:eastAsia="zh-CN"/>
              </w:rPr>
              <w:t>4</w:t>
            </w:r>
            <w:r>
              <w:rPr>
                <w:sz w:val="24"/>
                <w:highlight w:val="none"/>
                <w:shd w:val="clear"/>
              </w:rPr>
              <w:t>年</w:t>
            </w:r>
            <w:r>
              <w:rPr>
                <w:rFonts w:hint="eastAsia" w:ascii="Times New Roman" w:eastAsia="宋体"/>
                <w:sz w:val="24"/>
                <w:highlight w:val="none"/>
                <w:shd w:val="clear"/>
                <w:lang w:val="en-US" w:eastAsia="zh-CN"/>
              </w:rPr>
              <w:t>5</w:t>
            </w:r>
            <w:r>
              <w:rPr>
                <w:sz w:val="24"/>
                <w:highlight w:val="none"/>
                <w:shd w:val="clear"/>
              </w:rPr>
              <w:t>月</w:t>
            </w:r>
          </w:p>
        </w:tc>
      </w:tr>
      <w:tr w14:paraId="097122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1895" w:type="dxa"/>
            <w:tcBorders>
              <w:top w:val="single" w:color="000000" w:sz="4" w:space="0"/>
              <w:bottom w:val="single" w:color="000000" w:sz="4" w:space="0"/>
              <w:right w:val="single" w:color="000000" w:sz="4" w:space="0"/>
            </w:tcBorders>
            <w:vAlign w:val="center"/>
          </w:tcPr>
          <w:p w14:paraId="18074414">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b/>
                <w:sz w:val="21"/>
                <w:highlight w:val="none"/>
              </w:rPr>
            </w:pPr>
          </w:p>
          <w:p w14:paraId="6C60DAA1">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highlight w:val="none"/>
              </w:rPr>
            </w:pPr>
            <w:r>
              <w:rPr>
                <w:sz w:val="24"/>
                <w:highlight w:val="none"/>
              </w:rPr>
              <w:t>调查经费</w:t>
            </w:r>
          </w:p>
        </w:tc>
        <w:tc>
          <w:tcPr>
            <w:tcW w:w="6430" w:type="dxa"/>
            <w:gridSpan w:val="7"/>
            <w:tcBorders>
              <w:top w:val="single" w:color="000000" w:sz="4" w:space="0"/>
              <w:left w:val="single" w:color="000000" w:sz="4" w:space="0"/>
              <w:bottom w:val="single" w:color="000000" w:sz="4" w:space="0"/>
            </w:tcBorders>
            <w:vAlign w:val="center"/>
          </w:tcPr>
          <w:p w14:paraId="43525E8D">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b/>
                <w:sz w:val="22"/>
                <w:highlight w:val="none"/>
              </w:rPr>
            </w:pPr>
          </w:p>
          <w:p w14:paraId="2275D0AD">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4"/>
                <w:highlight w:val="none"/>
              </w:rPr>
            </w:pPr>
            <w:r>
              <w:rPr>
                <w:rFonts w:ascii="Times New Roman"/>
                <w:sz w:val="24"/>
                <w:highlight w:val="none"/>
              </w:rPr>
              <w:t>--</w:t>
            </w:r>
          </w:p>
        </w:tc>
      </w:tr>
    </w:tbl>
    <w:p w14:paraId="713531E5">
      <w:pPr>
        <w:spacing w:after="0"/>
        <w:jc w:val="center"/>
        <w:rPr>
          <w:rFonts w:ascii="Times New Roman"/>
          <w:sz w:val="24"/>
          <w:highlight w:val="none"/>
        </w:rPr>
        <w:sectPr>
          <w:footerReference r:id="rId5" w:type="default"/>
          <w:pgSz w:w="11910" w:h="16840"/>
          <w:pgMar w:top="1460" w:right="1440" w:bottom="1560" w:left="1580" w:header="0" w:footer="1378" w:gutter="0"/>
          <w:pgNumType w:start="1"/>
          <w:cols w:space="720" w:num="1"/>
        </w:sectPr>
      </w:pPr>
    </w:p>
    <w:tbl>
      <w:tblPr>
        <w:tblStyle w:val="10"/>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6430"/>
      </w:tblGrid>
      <w:tr w14:paraId="4CE48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0" w:hRule="atLeast"/>
        </w:trPr>
        <w:tc>
          <w:tcPr>
            <w:tcW w:w="1895" w:type="dxa"/>
            <w:tcBorders>
              <w:left w:val="single" w:color="000000" w:sz="8" w:space="0"/>
            </w:tcBorders>
            <w:vAlign w:val="center"/>
          </w:tcPr>
          <w:p w14:paraId="60C577D9">
            <w:pPr>
              <w:pStyle w:val="22"/>
              <w:spacing w:before="169"/>
              <w:ind w:left="470"/>
              <w:rPr>
                <w:sz w:val="24"/>
                <w:highlight w:val="none"/>
              </w:rPr>
            </w:pPr>
            <w:r>
              <w:rPr>
                <w:sz w:val="24"/>
                <w:highlight w:val="none"/>
              </w:rPr>
              <w:t>编制依据</w:t>
            </w:r>
          </w:p>
        </w:tc>
        <w:tc>
          <w:tcPr>
            <w:tcW w:w="6430" w:type="dxa"/>
            <w:tcBorders>
              <w:right w:val="single" w:color="000000" w:sz="8" w:space="0"/>
            </w:tcBorders>
          </w:tcPr>
          <w:p w14:paraId="403F77D9">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sz w:val="24"/>
                <w:highlight w:val="none"/>
              </w:rPr>
            </w:pPr>
            <w:r>
              <w:rPr>
                <w:rFonts w:ascii="Times New Roman" w:eastAsia="Times New Roman"/>
                <w:sz w:val="24"/>
                <w:highlight w:val="none"/>
              </w:rPr>
              <w:t>1</w:t>
            </w:r>
            <w:r>
              <w:rPr>
                <w:sz w:val="24"/>
                <w:highlight w:val="none"/>
              </w:rPr>
              <w:t>、中华人民共和国国务院令第</w:t>
            </w:r>
            <w:r>
              <w:rPr>
                <w:rFonts w:ascii="Times New Roman" w:eastAsia="Times New Roman"/>
                <w:sz w:val="24"/>
                <w:highlight w:val="none"/>
              </w:rPr>
              <w:t>682</w:t>
            </w:r>
            <w:r>
              <w:rPr>
                <w:sz w:val="24"/>
                <w:highlight w:val="none"/>
              </w:rPr>
              <w:t>号《国务院关于修改</w:t>
            </w:r>
            <w:r>
              <w:rPr>
                <w:rFonts w:ascii="Times New Roman" w:eastAsia="Times New Roman"/>
                <w:sz w:val="24"/>
                <w:highlight w:val="none"/>
              </w:rPr>
              <w:t>&lt;</w:t>
            </w:r>
            <w:r>
              <w:rPr>
                <w:sz w:val="24"/>
                <w:highlight w:val="none"/>
              </w:rPr>
              <w:t>建设项目环境保护管理条例</w:t>
            </w:r>
            <w:r>
              <w:rPr>
                <w:rFonts w:ascii="Times New Roman" w:eastAsia="Times New Roman"/>
                <w:sz w:val="24"/>
                <w:highlight w:val="none"/>
              </w:rPr>
              <w:t>&gt;</w:t>
            </w:r>
            <w:r>
              <w:rPr>
                <w:sz w:val="24"/>
                <w:highlight w:val="none"/>
              </w:rPr>
              <w:t>的决定》；</w:t>
            </w:r>
          </w:p>
          <w:p w14:paraId="11860142">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sz w:val="24"/>
                <w:highlight w:val="none"/>
              </w:rPr>
            </w:pPr>
            <w:r>
              <w:rPr>
                <w:rFonts w:ascii="Times New Roman" w:eastAsia="Times New Roman"/>
                <w:sz w:val="24"/>
                <w:highlight w:val="none"/>
              </w:rPr>
              <w:t>2</w:t>
            </w:r>
            <w:r>
              <w:rPr>
                <w:sz w:val="24"/>
                <w:highlight w:val="none"/>
              </w:rPr>
              <w:t>、国家环境保护部文件国评规环评</w:t>
            </w:r>
            <w:r>
              <w:rPr>
                <w:rFonts w:ascii="Times New Roman" w:eastAsia="Times New Roman"/>
                <w:sz w:val="24"/>
                <w:highlight w:val="none"/>
              </w:rPr>
              <w:t>[2017]4</w:t>
            </w:r>
            <w:r>
              <w:rPr>
                <w:sz w:val="24"/>
                <w:highlight w:val="none"/>
              </w:rPr>
              <w:t>号《关于发布</w:t>
            </w:r>
            <w:r>
              <w:rPr>
                <w:rFonts w:ascii="Times New Roman" w:eastAsia="Times New Roman"/>
                <w:sz w:val="24"/>
                <w:highlight w:val="none"/>
              </w:rPr>
              <w:t>&lt;</w:t>
            </w:r>
            <w:r>
              <w:rPr>
                <w:sz w:val="24"/>
                <w:highlight w:val="none"/>
              </w:rPr>
              <w:t>建设项目竣工环境保护验收暂行办法</w:t>
            </w:r>
            <w:r>
              <w:rPr>
                <w:rFonts w:ascii="Times New Roman" w:eastAsia="Times New Roman"/>
                <w:sz w:val="24"/>
                <w:highlight w:val="none"/>
              </w:rPr>
              <w:t>&gt;</w:t>
            </w:r>
            <w:r>
              <w:rPr>
                <w:sz w:val="24"/>
                <w:highlight w:val="none"/>
              </w:rPr>
              <w:t>的公告》；</w:t>
            </w:r>
          </w:p>
          <w:p w14:paraId="375F602A">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sz w:val="24"/>
                <w:highlight w:val="none"/>
              </w:rPr>
            </w:pPr>
            <w:r>
              <w:rPr>
                <w:rFonts w:ascii="Times New Roman" w:eastAsia="Times New Roman"/>
                <w:sz w:val="24"/>
                <w:highlight w:val="none"/>
              </w:rPr>
              <w:t>3</w:t>
            </w:r>
            <w:r>
              <w:rPr>
                <w:sz w:val="24"/>
                <w:highlight w:val="none"/>
              </w:rPr>
              <w:t>、《关于规范建设单位自主开展建设项目竣工环境保护验收的通知》（环境保护部）环办环评函</w:t>
            </w:r>
            <w:r>
              <w:rPr>
                <w:rFonts w:ascii="Times New Roman" w:eastAsia="Times New Roman"/>
                <w:sz w:val="24"/>
                <w:highlight w:val="none"/>
              </w:rPr>
              <w:t>[2017]1235</w:t>
            </w:r>
            <w:r>
              <w:rPr>
                <w:sz w:val="24"/>
                <w:highlight w:val="none"/>
              </w:rPr>
              <w:t>号；</w:t>
            </w:r>
          </w:p>
          <w:p w14:paraId="61EB5036">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sz w:val="24"/>
                <w:highlight w:val="none"/>
              </w:rPr>
            </w:pPr>
            <w:r>
              <w:rPr>
                <w:rFonts w:ascii="Times New Roman" w:eastAsia="Times New Roman"/>
                <w:sz w:val="24"/>
                <w:highlight w:val="none"/>
              </w:rPr>
              <w:t>4</w:t>
            </w:r>
            <w:r>
              <w:rPr>
                <w:sz w:val="24"/>
                <w:highlight w:val="none"/>
              </w:rPr>
              <w:t>、生态环境部发布《建设项目竣工环境保护验收技术规</w:t>
            </w:r>
            <w:r>
              <w:rPr>
                <w:spacing w:val="-1"/>
                <w:sz w:val="24"/>
                <w:highlight w:val="none"/>
              </w:rPr>
              <w:t>范 生态影响类》</w:t>
            </w:r>
            <w:r>
              <w:rPr>
                <w:rFonts w:ascii="Times New Roman" w:eastAsia="Times New Roman"/>
                <w:sz w:val="24"/>
                <w:highlight w:val="none"/>
              </w:rPr>
              <w:t>(HJ/T394-2007)</w:t>
            </w:r>
            <w:r>
              <w:rPr>
                <w:sz w:val="24"/>
                <w:highlight w:val="none"/>
              </w:rPr>
              <w:t>）；</w:t>
            </w:r>
          </w:p>
          <w:p w14:paraId="18DDEEAA">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sz w:val="24"/>
                <w:highlight w:val="none"/>
              </w:rPr>
            </w:pPr>
            <w:r>
              <w:rPr>
                <w:rFonts w:ascii="Times New Roman" w:eastAsia="Times New Roman"/>
                <w:sz w:val="24"/>
                <w:highlight w:val="none"/>
              </w:rPr>
              <w:t>5</w:t>
            </w:r>
            <w:r>
              <w:rPr>
                <w:sz w:val="24"/>
                <w:highlight w:val="none"/>
              </w:rPr>
              <w:t>、《关于建设项目环境保护设施竣工验收监测管理有关问题的通知》国家环境保护局，环发</w:t>
            </w:r>
            <w:r>
              <w:rPr>
                <w:rFonts w:ascii="Times New Roman" w:eastAsia="Times New Roman"/>
                <w:sz w:val="24"/>
                <w:highlight w:val="none"/>
              </w:rPr>
              <w:t>[2000]38</w:t>
            </w:r>
            <w:r>
              <w:rPr>
                <w:sz w:val="24"/>
                <w:highlight w:val="none"/>
              </w:rPr>
              <w:t>号，</w:t>
            </w:r>
            <w:r>
              <w:rPr>
                <w:rFonts w:ascii="Times New Roman" w:eastAsia="Times New Roman"/>
                <w:sz w:val="24"/>
                <w:highlight w:val="none"/>
              </w:rPr>
              <w:t>2000</w:t>
            </w:r>
            <w:r>
              <w:rPr>
                <w:sz w:val="24"/>
                <w:highlight w:val="none"/>
              </w:rPr>
              <w:t>年</w:t>
            </w:r>
            <w:r>
              <w:rPr>
                <w:rFonts w:ascii="Times New Roman" w:eastAsia="Times New Roman"/>
                <w:sz w:val="24"/>
                <w:highlight w:val="none"/>
              </w:rPr>
              <w:t>2</w:t>
            </w:r>
            <w:r>
              <w:rPr>
                <w:spacing w:val="-9"/>
                <w:sz w:val="24"/>
                <w:highlight w:val="none"/>
              </w:rPr>
              <w:t>月；</w:t>
            </w:r>
          </w:p>
          <w:p w14:paraId="3ED95138">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sz w:val="24"/>
                <w:highlight w:val="none"/>
              </w:rPr>
            </w:pPr>
            <w:r>
              <w:rPr>
                <w:rFonts w:ascii="Times New Roman" w:hAnsi="Times New Roman" w:eastAsia="Times New Roman"/>
                <w:sz w:val="24"/>
                <w:highlight w:val="none"/>
              </w:rPr>
              <w:t>6</w:t>
            </w:r>
            <w:r>
              <w:rPr>
                <w:spacing w:val="-13"/>
                <w:sz w:val="24"/>
                <w:highlight w:val="none"/>
              </w:rPr>
              <w:t>、中国环境监测总站</w:t>
            </w:r>
            <w:r>
              <w:rPr>
                <w:rFonts w:ascii="Times New Roman" w:hAnsi="Times New Roman" w:eastAsia="Times New Roman"/>
                <w:sz w:val="24"/>
                <w:highlight w:val="none"/>
              </w:rPr>
              <w:t>[2005]188</w:t>
            </w:r>
            <w:r>
              <w:rPr>
                <w:sz w:val="24"/>
                <w:highlight w:val="none"/>
              </w:rPr>
              <w:t>号</w:t>
            </w:r>
            <w:r>
              <w:rPr>
                <w:rFonts w:ascii="Times New Roman" w:hAnsi="Times New Roman" w:eastAsia="Times New Roman"/>
                <w:sz w:val="24"/>
                <w:highlight w:val="none"/>
              </w:rPr>
              <w:t>“</w:t>
            </w:r>
            <w:r>
              <w:rPr>
                <w:spacing w:val="-2"/>
                <w:sz w:val="24"/>
                <w:highlight w:val="none"/>
              </w:rPr>
              <w:t>关于加强建设项目竣工</w:t>
            </w:r>
            <w:r>
              <w:rPr>
                <w:spacing w:val="4"/>
                <w:sz w:val="24"/>
                <w:highlight w:val="none"/>
              </w:rPr>
              <w:t>环境保护验收监测工作中污染事故防范环境管理检查工作的通知</w:t>
            </w:r>
            <w:r>
              <w:rPr>
                <w:rFonts w:ascii="Times New Roman" w:hAnsi="Times New Roman" w:eastAsia="Times New Roman"/>
                <w:spacing w:val="4"/>
                <w:sz w:val="24"/>
                <w:highlight w:val="none"/>
              </w:rPr>
              <w:t>”</w:t>
            </w:r>
            <w:r>
              <w:rPr>
                <w:spacing w:val="4"/>
                <w:sz w:val="24"/>
                <w:highlight w:val="none"/>
              </w:rPr>
              <w:t>；</w:t>
            </w:r>
          </w:p>
          <w:p w14:paraId="6D271911">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sz w:val="24"/>
                <w:highlight w:val="none"/>
              </w:rPr>
            </w:pPr>
            <w:r>
              <w:rPr>
                <w:rFonts w:ascii="Times New Roman" w:eastAsia="Times New Roman"/>
                <w:sz w:val="24"/>
                <w:highlight w:val="none"/>
              </w:rPr>
              <w:t>7</w:t>
            </w:r>
            <w:r>
              <w:rPr>
                <w:spacing w:val="-11"/>
                <w:sz w:val="24"/>
                <w:highlight w:val="none"/>
              </w:rPr>
              <w:t>、</w:t>
            </w:r>
            <w:r>
              <w:rPr>
                <w:rFonts w:hint="eastAsia"/>
                <w:spacing w:val="-11"/>
                <w:sz w:val="24"/>
                <w:highlight w:val="none"/>
                <w:lang w:eastAsia="zh-CN"/>
              </w:rPr>
              <w:t>江门市泰邦环保有限公司</w:t>
            </w:r>
            <w:r>
              <w:rPr>
                <w:rFonts w:ascii="Times New Roman" w:eastAsia="Times New Roman"/>
                <w:sz w:val="24"/>
                <w:highlight w:val="none"/>
              </w:rPr>
              <w:t>20</w:t>
            </w:r>
            <w:r>
              <w:rPr>
                <w:rFonts w:hint="eastAsia" w:ascii="Times New Roman"/>
                <w:sz w:val="24"/>
                <w:highlight w:val="none"/>
                <w:lang w:val="en-US" w:eastAsia="zh-CN"/>
              </w:rPr>
              <w:t>21</w:t>
            </w:r>
            <w:r>
              <w:rPr>
                <w:spacing w:val="-16"/>
                <w:sz w:val="24"/>
                <w:highlight w:val="none"/>
              </w:rPr>
              <w:t>年编制的《</w:t>
            </w:r>
            <w:r>
              <w:rPr>
                <w:rFonts w:hint="eastAsia"/>
                <w:spacing w:val="-16"/>
                <w:sz w:val="24"/>
                <w:highlight w:val="none"/>
                <w:lang w:eastAsia="zh-CN"/>
              </w:rPr>
              <w:t>台山鑫昊150MW渔光互补光伏发电项目</w:t>
            </w:r>
            <w:r>
              <w:rPr>
                <w:sz w:val="24"/>
                <w:highlight w:val="none"/>
              </w:rPr>
              <w:t xml:space="preserve">环境影响报告表》 </w:t>
            </w:r>
          </w:p>
          <w:p w14:paraId="5DECB7C7">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sz w:val="24"/>
                <w:highlight w:val="none"/>
              </w:rPr>
            </w:pPr>
            <w:r>
              <w:rPr>
                <w:rFonts w:ascii="Times New Roman" w:eastAsia="Times New Roman"/>
                <w:sz w:val="24"/>
                <w:highlight w:val="none"/>
              </w:rPr>
              <w:t>8</w:t>
            </w:r>
            <w:r>
              <w:rPr>
                <w:spacing w:val="-4"/>
                <w:sz w:val="24"/>
                <w:highlight w:val="none"/>
              </w:rPr>
              <w:t>、</w:t>
            </w:r>
            <w:r>
              <w:rPr>
                <w:rFonts w:hint="eastAsia"/>
                <w:spacing w:val="-4"/>
                <w:sz w:val="24"/>
                <w:highlight w:val="none"/>
                <w:lang w:eastAsia="zh-CN"/>
              </w:rPr>
              <w:t>江门市生态环境局台山分局</w:t>
            </w:r>
            <w:r>
              <w:rPr>
                <w:spacing w:val="-4"/>
                <w:sz w:val="24"/>
                <w:highlight w:val="none"/>
              </w:rPr>
              <w:t>关于《</w:t>
            </w:r>
            <w:r>
              <w:rPr>
                <w:rFonts w:hint="eastAsia"/>
                <w:sz w:val="24"/>
                <w:highlight w:val="none"/>
                <w:lang w:eastAsia="zh-CN"/>
              </w:rPr>
              <w:t>台山鑫昊150MW渔光互补光伏发电项目</w:t>
            </w:r>
            <w:r>
              <w:rPr>
                <w:spacing w:val="-3"/>
                <w:sz w:val="24"/>
                <w:highlight w:val="none"/>
              </w:rPr>
              <w:t>环境影响报告表》的审批意见，文号：</w:t>
            </w:r>
            <w:r>
              <w:rPr>
                <w:rFonts w:hint="eastAsia"/>
                <w:spacing w:val="-3"/>
                <w:sz w:val="24"/>
                <w:highlight w:val="none"/>
              </w:rPr>
              <w:t>江台环审﹝2021﹞21号</w:t>
            </w:r>
            <w:r>
              <w:rPr>
                <w:sz w:val="24"/>
                <w:highlight w:val="none"/>
              </w:rPr>
              <w:t>。</w:t>
            </w:r>
          </w:p>
        </w:tc>
      </w:tr>
      <w:tr w14:paraId="1F222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7" w:hRule="atLeast"/>
        </w:trPr>
        <w:tc>
          <w:tcPr>
            <w:tcW w:w="1895" w:type="dxa"/>
            <w:tcBorders>
              <w:left w:val="single" w:color="000000" w:sz="8" w:space="0"/>
              <w:bottom w:val="single" w:color="000000" w:sz="8" w:space="0"/>
            </w:tcBorders>
            <w:vAlign w:val="center"/>
          </w:tcPr>
          <w:p w14:paraId="185EA26E">
            <w:pPr>
              <w:pStyle w:val="22"/>
              <w:spacing w:before="181" w:line="242" w:lineRule="auto"/>
              <w:ind w:left="110" w:right="87"/>
              <w:jc w:val="center"/>
              <w:rPr>
                <w:sz w:val="24"/>
                <w:highlight w:val="none"/>
              </w:rPr>
            </w:pPr>
            <w:r>
              <w:rPr>
                <w:sz w:val="24"/>
                <w:highlight w:val="none"/>
              </w:rPr>
              <w:t>项目建设过程简述</w:t>
            </w:r>
          </w:p>
        </w:tc>
        <w:tc>
          <w:tcPr>
            <w:tcW w:w="6430" w:type="dxa"/>
            <w:tcBorders>
              <w:bottom w:val="single" w:color="000000" w:sz="8" w:space="0"/>
              <w:right w:val="single" w:color="000000" w:sz="8" w:space="0"/>
            </w:tcBorders>
          </w:tcPr>
          <w:p w14:paraId="007221D8">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left"/>
              <w:textAlignment w:val="auto"/>
              <w:rPr>
                <w:sz w:val="24"/>
                <w:highlight w:val="none"/>
              </w:rPr>
            </w:pPr>
            <w:r>
              <w:rPr>
                <w:spacing w:val="-10"/>
                <w:sz w:val="24"/>
                <w:highlight w:val="none"/>
              </w:rPr>
              <w:t>建设单位于</w:t>
            </w:r>
            <w:r>
              <w:rPr>
                <w:rFonts w:ascii="Times New Roman" w:eastAsia="Times New Roman"/>
                <w:sz w:val="24"/>
                <w:highlight w:val="none"/>
              </w:rPr>
              <w:t>20</w:t>
            </w:r>
            <w:r>
              <w:rPr>
                <w:rFonts w:hint="eastAsia" w:ascii="Times New Roman"/>
                <w:sz w:val="24"/>
                <w:highlight w:val="none"/>
                <w:lang w:val="en-US" w:eastAsia="zh-CN"/>
              </w:rPr>
              <w:t>20</w:t>
            </w:r>
            <w:r>
              <w:rPr>
                <w:spacing w:val="-30"/>
                <w:sz w:val="24"/>
                <w:highlight w:val="none"/>
              </w:rPr>
              <w:t>年</w:t>
            </w:r>
            <w:r>
              <w:rPr>
                <w:rFonts w:ascii="Times New Roman" w:eastAsia="Times New Roman"/>
                <w:sz w:val="24"/>
                <w:highlight w:val="none"/>
              </w:rPr>
              <w:t>2</w:t>
            </w:r>
            <w:r>
              <w:rPr>
                <w:spacing w:val="-30"/>
                <w:sz w:val="24"/>
                <w:highlight w:val="none"/>
              </w:rPr>
              <w:t>月</w:t>
            </w:r>
            <w:r>
              <w:rPr>
                <w:rFonts w:hint="eastAsia" w:ascii="Times New Roman"/>
                <w:sz w:val="24"/>
                <w:highlight w:val="none"/>
                <w:lang w:val="en-US" w:eastAsia="zh-CN"/>
              </w:rPr>
              <w:t>26</w:t>
            </w:r>
            <w:r>
              <w:rPr>
                <w:sz w:val="24"/>
                <w:highlight w:val="none"/>
              </w:rPr>
              <w:t>日取得项目备案</w:t>
            </w:r>
            <w:r>
              <w:rPr>
                <w:rFonts w:hint="eastAsia"/>
                <w:sz w:val="24"/>
                <w:highlight w:val="none"/>
                <w:lang w:eastAsia="zh-CN"/>
              </w:rPr>
              <w:t>（</w:t>
            </w:r>
            <w:r>
              <w:rPr>
                <w:rFonts w:hint="eastAsia"/>
                <w:sz w:val="24"/>
                <w:highlight w:val="none"/>
                <w:lang w:val="en-US" w:eastAsia="zh-CN"/>
              </w:rPr>
              <w:t>项目代码：2019-440781-75-03-035501、2019-440781-44-03-047723、2020-440781-75-03-006944</w:t>
            </w:r>
            <w:r>
              <w:rPr>
                <w:rFonts w:hint="eastAsia"/>
                <w:sz w:val="24"/>
                <w:highlight w:val="none"/>
                <w:lang w:eastAsia="zh-CN"/>
              </w:rPr>
              <w:t>）</w:t>
            </w:r>
            <w:r>
              <w:rPr>
                <w:sz w:val="24"/>
                <w:highlight w:val="none"/>
              </w:rPr>
              <w:t>，</w:t>
            </w:r>
            <w:r>
              <w:rPr>
                <w:rFonts w:hint="eastAsia"/>
                <w:spacing w:val="-4"/>
                <w:sz w:val="24"/>
                <w:highlight w:val="none"/>
                <w:lang w:eastAsia="zh-CN"/>
              </w:rPr>
              <w:t>台山市鑫昊新能源有限公司</w:t>
            </w:r>
            <w:r>
              <w:rPr>
                <w:spacing w:val="-4"/>
                <w:sz w:val="24"/>
                <w:highlight w:val="none"/>
              </w:rPr>
              <w:t>于</w:t>
            </w:r>
            <w:r>
              <w:rPr>
                <w:rFonts w:ascii="Times New Roman" w:eastAsia="Times New Roman"/>
                <w:spacing w:val="-4"/>
                <w:sz w:val="24"/>
                <w:highlight w:val="none"/>
              </w:rPr>
              <w:t>20</w:t>
            </w:r>
            <w:r>
              <w:rPr>
                <w:rFonts w:hint="eastAsia" w:ascii="Times New Roman"/>
                <w:spacing w:val="-4"/>
                <w:sz w:val="24"/>
                <w:highlight w:val="none"/>
                <w:lang w:val="en-US" w:eastAsia="zh-CN"/>
              </w:rPr>
              <w:t>21</w:t>
            </w:r>
            <w:r>
              <w:rPr>
                <w:spacing w:val="-30"/>
                <w:sz w:val="24"/>
                <w:highlight w:val="none"/>
              </w:rPr>
              <w:t>年</w:t>
            </w:r>
            <w:r>
              <w:rPr>
                <w:rFonts w:hint="eastAsia"/>
                <w:spacing w:val="-30"/>
                <w:sz w:val="24"/>
                <w:highlight w:val="none"/>
                <w:lang w:val="en-US" w:eastAsia="zh-CN"/>
              </w:rPr>
              <w:t>2</w:t>
            </w:r>
            <w:r>
              <w:rPr>
                <w:sz w:val="24"/>
                <w:highlight w:val="none"/>
              </w:rPr>
              <w:t>月委托</w:t>
            </w:r>
            <w:r>
              <w:rPr>
                <w:rFonts w:hint="eastAsia"/>
                <w:sz w:val="24"/>
                <w:highlight w:val="none"/>
                <w:lang w:eastAsia="zh-CN"/>
              </w:rPr>
              <w:t>江门市泰邦环保有限公司</w:t>
            </w:r>
            <w:r>
              <w:rPr>
                <w:sz w:val="24"/>
                <w:highlight w:val="none"/>
              </w:rPr>
              <w:t>编制《</w:t>
            </w:r>
            <w:r>
              <w:rPr>
                <w:rFonts w:hint="eastAsia"/>
                <w:sz w:val="24"/>
                <w:highlight w:val="none"/>
                <w:lang w:eastAsia="zh-CN"/>
              </w:rPr>
              <w:t>台山鑫昊150MW渔光互补光伏发电项目</w:t>
            </w:r>
            <w:r>
              <w:rPr>
                <w:spacing w:val="-2"/>
                <w:sz w:val="24"/>
                <w:highlight w:val="none"/>
              </w:rPr>
              <w:t>环境</w:t>
            </w:r>
            <w:r>
              <w:rPr>
                <w:spacing w:val="-15"/>
                <w:sz w:val="24"/>
                <w:highlight w:val="none"/>
              </w:rPr>
              <w:t>影响报告表》，于</w:t>
            </w:r>
            <w:r>
              <w:rPr>
                <w:rFonts w:ascii="Times New Roman" w:eastAsia="Times New Roman"/>
                <w:sz w:val="24"/>
                <w:highlight w:val="none"/>
              </w:rPr>
              <w:t>20</w:t>
            </w:r>
            <w:r>
              <w:rPr>
                <w:rFonts w:hint="eastAsia" w:ascii="Times New Roman"/>
                <w:sz w:val="24"/>
                <w:highlight w:val="none"/>
                <w:lang w:val="en-US" w:eastAsia="zh-CN"/>
              </w:rPr>
              <w:t>21</w:t>
            </w:r>
            <w:r>
              <w:rPr>
                <w:spacing w:val="-30"/>
                <w:sz w:val="24"/>
                <w:highlight w:val="none"/>
              </w:rPr>
              <w:t>年</w:t>
            </w:r>
            <w:r>
              <w:rPr>
                <w:rFonts w:hint="eastAsia" w:ascii="Times New Roman"/>
                <w:sz w:val="24"/>
                <w:highlight w:val="none"/>
                <w:lang w:val="en-US" w:eastAsia="zh-CN"/>
              </w:rPr>
              <w:t>6</w:t>
            </w:r>
            <w:r>
              <w:rPr>
                <w:spacing w:val="-30"/>
                <w:sz w:val="24"/>
                <w:highlight w:val="none"/>
              </w:rPr>
              <w:t>月</w:t>
            </w:r>
            <w:r>
              <w:rPr>
                <w:rFonts w:hint="eastAsia" w:ascii="Times New Roman"/>
                <w:sz w:val="24"/>
                <w:highlight w:val="none"/>
                <w:lang w:val="en-US" w:eastAsia="zh-CN"/>
              </w:rPr>
              <w:t>3</w:t>
            </w:r>
            <w:r>
              <w:rPr>
                <w:spacing w:val="-1"/>
                <w:sz w:val="24"/>
                <w:highlight w:val="none"/>
              </w:rPr>
              <w:t>日取得</w:t>
            </w:r>
            <w:r>
              <w:rPr>
                <w:rFonts w:hint="eastAsia"/>
                <w:spacing w:val="-1"/>
                <w:sz w:val="24"/>
                <w:highlight w:val="none"/>
                <w:lang w:eastAsia="zh-CN"/>
              </w:rPr>
              <w:t>江门市生态环境局台山分局</w:t>
            </w:r>
            <w:r>
              <w:rPr>
                <w:sz w:val="24"/>
                <w:highlight w:val="none"/>
              </w:rPr>
              <w:t>出具的审批意见（</w:t>
            </w:r>
            <w:r>
              <w:rPr>
                <w:rFonts w:hint="eastAsia"/>
                <w:sz w:val="24"/>
                <w:highlight w:val="none"/>
                <w:lang w:eastAsia="zh-CN"/>
              </w:rPr>
              <w:t>江台环审﹝2021﹞21号</w:t>
            </w:r>
            <w:r>
              <w:rPr>
                <w:sz w:val="24"/>
                <w:highlight w:val="none"/>
              </w:rPr>
              <w:t>）。</w:t>
            </w:r>
          </w:p>
          <w:p w14:paraId="18B83630">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8" w:firstLineChars="200"/>
              <w:jc w:val="left"/>
              <w:textAlignment w:val="auto"/>
              <w:rPr>
                <w:sz w:val="24"/>
                <w:highlight w:val="none"/>
              </w:rPr>
            </w:pPr>
            <w:r>
              <w:rPr>
                <w:spacing w:val="-8"/>
                <w:sz w:val="24"/>
                <w:highlight w:val="none"/>
              </w:rPr>
              <w:t>光伏发电场区</w:t>
            </w:r>
            <w:r>
              <w:rPr>
                <w:sz w:val="24"/>
                <w:highlight w:val="none"/>
              </w:rPr>
              <w:t>于</w:t>
            </w:r>
            <w:r>
              <w:rPr>
                <w:rFonts w:ascii="Times New Roman" w:eastAsia="Times New Roman"/>
                <w:sz w:val="24"/>
                <w:highlight w:val="none"/>
              </w:rPr>
              <w:t>201</w:t>
            </w:r>
            <w:r>
              <w:rPr>
                <w:rFonts w:hint="eastAsia" w:ascii="Times New Roman" w:eastAsia="宋体"/>
                <w:sz w:val="24"/>
                <w:highlight w:val="none"/>
                <w:lang w:val="en-US" w:eastAsia="zh-CN"/>
              </w:rPr>
              <w:t>3</w:t>
            </w:r>
            <w:r>
              <w:rPr>
                <w:sz w:val="24"/>
                <w:highlight w:val="none"/>
              </w:rPr>
              <w:t>年</w:t>
            </w:r>
            <w:r>
              <w:rPr>
                <w:rFonts w:ascii="Times New Roman" w:eastAsia="Times New Roman"/>
                <w:sz w:val="24"/>
                <w:highlight w:val="none"/>
              </w:rPr>
              <w:t>6</w:t>
            </w:r>
            <w:r>
              <w:rPr>
                <w:sz w:val="24"/>
                <w:highlight w:val="none"/>
              </w:rPr>
              <w:t>月开始建设，于</w:t>
            </w:r>
            <w:r>
              <w:rPr>
                <w:rFonts w:ascii="Times New Roman" w:eastAsia="Times New Roman"/>
                <w:sz w:val="24"/>
                <w:highlight w:val="none"/>
              </w:rPr>
              <w:t>202</w:t>
            </w:r>
            <w:r>
              <w:rPr>
                <w:rFonts w:hint="eastAsia" w:ascii="Times New Roman" w:eastAsia="宋体"/>
                <w:sz w:val="24"/>
                <w:highlight w:val="none"/>
                <w:lang w:val="en-US" w:eastAsia="zh-CN"/>
              </w:rPr>
              <w:t>4</w:t>
            </w:r>
            <w:r>
              <w:rPr>
                <w:sz w:val="24"/>
                <w:highlight w:val="none"/>
              </w:rPr>
              <w:t>年</w:t>
            </w:r>
            <w:r>
              <w:rPr>
                <w:rFonts w:hint="eastAsia" w:ascii="Times New Roman" w:eastAsia="宋体"/>
                <w:sz w:val="24"/>
                <w:highlight w:val="none"/>
                <w:lang w:val="en-US" w:eastAsia="zh-CN"/>
              </w:rPr>
              <w:t>5</w:t>
            </w:r>
            <w:r>
              <w:rPr>
                <w:sz w:val="24"/>
                <w:highlight w:val="none"/>
              </w:rPr>
              <w:t>月竣工。</w:t>
            </w:r>
          </w:p>
          <w:p w14:paraId="3BC3A1BB">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sz w:val="24"/>
                <w:highlight w:val="none"/>
              </w:rPr>
            </w:pPr>
            <w:r>
              <w:rPr>
                <w:rFonts w:ascii="Times New Roman" w:eastAsia="Times New Roman"/>
                <w:sz w:val="24"/>
                <w:highlight w:val="none"/>
              </w:rPr>
              <w:t>202</w:t>
            </w:r>
            <w:r>
              <w:rPr>
                <w:rFonts w:hint="eastAsia" w:ascii="Times New Roman"/>
                <w:sz w:val="24"/>
                <w:highlight w:val="none"/>
                <w:lang w:val="en-US" w:eastAsia="zh-CN"/>
              </w:rPr>
              <w:t>4</w:t>
            </w:r>
            <w:r>
              <w:rPr>
                <w:sz w:val="24"/>
                <w:highlight w:val="none"/>
              </w:rPr>
              <w:t>年</w:t>
            </w:r>
            <w:r>
              <w:rPr>
                <w:rFonts w:hint="eastAsia" w:ascii="Times New Roman"/>
                <w:sz w:val="24"/>
                <w:highlight w:val="none"/>
                <w:lang w:val="en-US" w:eastAsia="zh-CN"/>
              </w:rPr>
              <w:t>7</w:t>
            </w:r>
            <w:r>
              <w:rPr>
                <w:spacing w:val="-6"/>
                <w:sz w:val="24"/>
                <w:highlight w:val="none"/>
              </w:rPr>
              <w:t>月，根据国务院第</w:t>
            </w:r>
            <w:r>
              <w:rPr>
                <w:rFonts w:ascii="Times New Roman" w:eastAsia="Times New Roman"/>
                <w:sz w:val="24"/>
                <w:highlight w:val="none"/>
              </w:rPr>
              <w:t>682</w:t>
            </w:r>
            <w:r>
              <w:rPr>
                <w:spacing w:val="-7"/>
                <w:sz w:val="24"/>
                <w:highlight w:val="none"/>
              </w:rPr>
              <w:t>号令《建设项目环境保护管</w:t>
            </w:r>
            <w:r>
              <w:rPr>
                <w:sz w:val="24"/>
                <w:highlight w:val="none"/>
              </w:rPr>
              <w:t>理条例》、国家环境保护部文件国环规环评</w:t>
            </w:r>
            <w:r>
              <w:rPr>
                <w:rFonts w:ascii="Times New Roman" w:eastAsia="Times New Roman"/>
                <w:sz w:val="24"/>
                <w:highlight w:val="none"/>
              </w:rPr>
              <w:t>[2017]4</w:t>
            </w:r>
            <w:r>
              <w:rPr>
                <w:spacing w:val="-3"/>
                <w:sz w:val="24"/>
                <w:highlight w:val="none"/>
              </w:rPr>
              <w:t>号关于发</w:t>
            </w:r>
            <w:r>
              <w:rPr>
                <w:spacing w:val="-8"/>
                <w:sz w:val="24"/>
                <w:highlight w:val="none"/>
              </w:rPr>
              <w:t>布《建设项目竣工环境保护验收暂行办法》、生态环境部发布</w:t>
            </w:r>
          </w:p>
          <w:p w14:paraId="035FF050">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6" w:firstLineChars="200"/>
              <w:jc w:val="left"/>
              <w:textAlignment w:val="auto"/>
              <w:rPr>
                <w:sz w:val="24"/>
                <w:highlight w:val="none"/>
              </w:rPr>
            </w:pPr>
            <w:r>
              <w:rPr>
                <w:spacing w:val="-1"/>
                <w:sz w:val="24"/>
                <w:highlight w:val="none"/>
              </w:rPr>
              <w:t>《建设项目竣工环境保护验收技术规范生态影响类》</w:t>
            </w:r>
            <w:r>
              <w:rPr>
                <w:rFonts w:ascii="Times New Roman" w:eastAsia="Times New Roman"/>
                <w:spacing w:val="-4"/>
                <w:sz w:val="24"/>
                <w:highlight w:val="none"/>
              </w:rPr>
              <w:t xml:space="preserve">(HJ/T3 </w:t>
            </w:r>
            <w:r>
              <w:rPr>
                <w:rFonts w:ascii="Times New Roman" w:eastAsia="Times New Roman"/>
                <w:sz w:val="24"/>
                <w:highlight w:val="none"/>
              </w:rPr>
              <w:t>94-2007)</w:t>
            </w:r>
            <w:r>
              <w:rPr>
                <w:spacing w:val="-1"/>
                <w:sz w:val="24"/>
                <w:highlight w:val="none"/>
              </w:rPr>
              <w:t>等文件的有关要求和规定，对该建设项目进行竣工环</w:t>
            </w:r>
            <w:r>
              <w:rPr>
                <w:spacing w:val="-7"/>
                <w:sz w:val="24"/>
                <w:highlight w:val="none"/>
              </w:rPr>
              <w:t>境保护验收调查工作。通过对项目现场踏勘，调查工程完成情</w:t>
            </w:r>
            <w:r>
              <w:rPr>
                <w:sz w:val="24"/>
                <w:highlight w:val="none"/>
              </w:rPr>
              <w:t>况，并查阅了相关资料，编制完成了《</w:t>
            </w:r>
            <w:r>
              <w:rPr>
                <w:rFonts w:hint="eastAsia"/>
                <w:sz w:val="24"/>
                <w:highlight w:val="none"/>
                <w:lang w:eastAsia="zh-CN"/>
              </w:rPr>
              <w:t>台山鑫昊150MW渔光互补光伏发电项目</w:t>
            </w:r>
            <w:r>
              <w:rPr>
                <w:sz w:val="24"/>
                <w:highlight w:val="none"/>
              </w:rPr>
              <w:t>竣工环境保护验收调查表》。</w:t>
            </w:r>
          </w:p>
        </w:tc>
      </w:tr>
    </w:tbl>
    <w:p w14:paraId="0DF4B3C2">
      <w:pPr>
        <w:spacing w:after="0"/>
        <w:rPr>
          <w:sz w:val="24"/>
          <w:highlight w:val="none"/>
        </w:rPr>
        <w:sectPr>
          <w:pgSz w:w="11910" w:h="16840"/>
          <w:pgMar w:top="1420" w:right="1440" w:bottom="1560" w:left="1580" w:header="0" w:footer="1378" w:gutter="0"/>
          <w:cols w:space="720" w:num="1"/>
        </w:sectPr>
      </w:pPr>
    </w:p>
    <w:p w14:paraId="673ACA01">
      <w:pPr>
        <w:pStyle w:val="2"/>
        <w:tabs>
          <w:tab w:val="left" w:pos="801"/>
        </w:tabs>
        <w:ind w:right="213"/>
        <w:rPr>
          <w:highlight w:val="none"/>
        </w:rPr>
      </w:pPr>
      <w:r>
        <w:rPr>
          <w:highlight w:val="none"/>
        </w:rPr>
        <w:t>表</w:t>
      </w:r>
      <w:r>
        <w:rPr>
          <w:rFonts w:ascii="Times New Roman" w:eastAsia="Times New Roman"/>
          <w:highlight w:val="none"/>
        </w:rPr>
        <w:t>2</w:t>
      </w:r>
      <w:r>
        <w:rPr>
          <w:rFonts w:ascii="Times New Roman" w:eastAsia="Times New Roman"/>
          <w:highlight w:val="none"/>
        </w:rPr>
        <w:tab/>
      </w:r>
      <w:r>
        <w:rPr>
          <w:highlight w:val="none"/>
        </w:rPr>
        <w:t>调查范围、因子、目标、重点</w:t>
      </w:r>
    </w:p>
    <w:p w14:paraId="3CC4A1AD">
      <w:pPr>
        <w:pStyle w:val="5"/>
        <w:spacing w:before="12"/>
        <w:rPr>
          <w:b/>
          <w:sz w:val="4"/>
          <w:highlight w:val="none"/>
        </w:rPr>
      </w:pPr>
    </w:p>
    <w:tbl>
      <w:tblPr>
        <w:tblStyle w:val="10"/>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3"/>
        <w:gridCol w:w="7848"/>
      </w:tblGrid>
      <w:tr w14:paraId="0EFE07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52" w:hRule="atLeast"/>
        </w:trPr>
        <w:tc>
          <w:tcPr>
            <w:tcW w:w="673" w:type="dxa"/>
            <w:tcBorders>
              <w:bottom w:val="single" w:color="000000" w:sz="4" w:space="0"/>
              <w:right w:val="single" w:color="000000" w:sz="4" w:space="0"/>
            </w:tcBorders>
          </w:tcPr>
          <w:p w14:paraId="4DFB10A0">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4"/>
                <w:highlight w:val="none"/>
              </w:rPr>
            </w:pPr>
          </w:p>
          <w:p w14:paraId="2E1E06F6">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4"/>
                <w:highlight w:val="none"/>
              </w:rPr>
            </w:pPr>
          </w:p>
          <w:p w14:paraId="19B493B1">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4"/>
                <w:highlight w:val="none"/>
              </w:rPr>
            </w:pPr>
          </w:p>
          <w:p w14:paraId="6D277824">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4"/>
                <w:highlight w:val="none"/>
              </w:rPr>
            </w:pPr>
          </w:p>
          <w:p w14:paraId="103D8657">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4"/>
                <w:highlight w:val="none"/>
              </w:rPr>
            </w:pPr>
          </w:p>
          <w:p w14:paraId="000B038C">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4"/>
                <w:highlight w:val="none"/>
              </w:rPr>
            </w:pPr>
          </w:p>
          <w:p w14:paraId="4C22C8FB">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4"/>
                <w:highlight w:val="none"/>
              </w:rPr>
            </w:pPr>
          </w:p>
          <w:p w14:paraId="4186E0D6">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4"/>
                <w:highlight w:val="none"/>
              </w:rPr>
            </w:pPr>
          </w:p>
          <w:p w14:paraId="1383305D">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4"/>
                <w:highlight w:val="none"/>
              </w:rPr>
            </w:pPr>
          </w:p>
          <w:p w14:paraId="77E442FF">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6"/>
                <w:highlight w:val="none"/>
              </w:rPr>
            </w:pPr>
          </w:p>
          <w:p w14:paraId="70863933">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4"/>
                <w:highlight w:val="none"/>
              </w:rPr>
            </w:pPr>
            <w:r>
              <w:rPr>
                <w:sz w:val="24"/>
                <w:highlight w:val="none"/>
              </w:rPr>
              <w:t>调查范围</w:t>
            </w:r>
          </w:p>
        </w:tc>
        <w:tc>
          <w:tcPr>
            <w:tcW w:w="7848" w:type="dxa"/>
            <w:tcBorders>
              <w:left w:val="single" w:color="000000" w:sz="4" w:space="0"/>
              <w:bottom w:val="single" w:color="000000" w:sz="4" w:space="0"/>
            </w:tcBorders>
          </w:tcPr>
          <w:p w14:paraId="1476718A">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sz w:val="24"/>
                <w:highlight w:val="none"/>
              </w:rPr>
            </w:pPr>
            <w:r>
              <w:rPr>
                <w:sz w:val="24"/>
                <w:highlight w:val="none"/>
              </w:rPr>
              <w:t>参考《建设项目竣工环境保护验收技术规范  生态影响类》结合</w:t>
            </w:r>
            <w:r>
              <w:rPr>
                <w:spacing w:val="-5"/>
                <w:sz w:val="24"/>
                <w:highlight w:val="none"/>
              </w:rPr>
              <w:t>现场踏勘调查，本工程光伏电站位于</w:t>
            </w:r>
            <w:r>
              <w:rPr>
                <w:rFonts w:hint="eastAsia"/>
                <w:spacing w:val="-5"/>
                <w:sz w:val="24"/>
                <w:highlight w:val="none"/>
                <w:lang w:val="en-US" w:eastAsia="zh-CN"/>
              </w:rPr>
              <w:t>江门市台山市汶村镇大担村、横山村、高产围，影响范围无环境敏感目标</w:t>
            </w:r>
            <w:r>
              <w:rPr>
                <w:spacing w:val="-6"/>
                <w:sz w:val="24"/>
                <w:highlight w:val="none"/>
              </w:rPr>
              <w:t>，光伏电站主要考虑对当地生态环境、水环境、声环境及对自然景观</w:t>
            </w:r>
            <w:r>
              <w:rPr>
                <w:spacing w:val="-5"/>
                <w:sz w:val="24"/>
                <w:highlight w:val="none"/>
              </w:rPr>
              <w:t>的影响，以及固体废弃物的处置措施的落实情况，由此确定本工程的调查范围，本次验收调查范围与环评报告表评价范围基本一致，具体范围</w:t>
            </w:r>
            <w:r>
              <w:rPr>
                <w:sz w:val="24"/>
                <w:highlight w:val="none"/>
              </w:rPr>
              <w:t>如下：</w:t>
            </w:r>
          </w:p>
          <w:p w14:paraId="55FA3F0A">
            <w:pPr>
              <w:pStyle w:val="2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sz w:val="24"/>
                <w:highlight w:val="none"/>
              </w:rPr>
            </w:pPr>
            <w:r>
              <w:rPr>
                <w:rFonts w:hint="eastAsia"/>
                <w:sz w:val="24"/>
                <w:highlight w:val="none"/>
                <w:lang w:val="en-US" w:eastAsia="zh-CN"/>
              </w:rPr>
              <w:t>1、</w:t>
            </w:r>
            <w:r>
              <w:rPr>
                <w:sz w:val="24"/>
                <w:highlight w:val="none"/>
              </w:rPr>
              <w:t>生态环境：项目区农业生态系统、动植物等周边的生态环境，以及建成后施工临时占地、永久占地、地表植被恢复工程等实施区域；</w:t>
            </w:r>
          </w:p>
          <w:p w14:paraId="53AEC595">
            <w:pPr>
              <w:pStyle w:val="2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80" w:firstLineChars="200"/>
              <w:jc w:val="left"/>
              <w:textAlignment w:val="auto"/>
              <w:rPr>
                <w:sz w:val="24"/>
                <w:highlight w:val="none"/>
              </w:rPr>
            </w:pPr>
            <w:r>
              <w:rPr>
                <w:rFonts w:hint="eastAsia"/>
                <w:sz w:val="24"/>
                <w:highlight w:val="none"/>
                <w:lang w:val="en-US" w:eastAsia="zh-CN"/>
              </w:rPr>
              <w:t>2、</w:t>
            </w:r>
            <w:r>
              <w:rPr>
                <w:sz w:val="24"/>
                <w:highlight w:val="none"/>
              </w:rPr>
              <w:t>水环境：生活污水、光伏组件清洗废水处理方式及处置措施的核实；</w:t>
            </w:r>
          </w:p>
          <w:p w14:paraId="6126E9A8">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left"/>
              <w:textAlignment w:val="auto"/>
              <w:rPr>
                <w:sz w:val="24"/>
                <w:highlight w:val="none"/>
              </w:rPr>
            </w:pPr>
            <w:r>
              <w:rPr>
                <w:rFonts w:hint="eastAsia"/>
                <w:sz w:val="24"/>
                <w:highlight w:val="none"/>
                <w:lang w:val="en-US" w:eastAsia="zh-CN"/>
              </w:rPr>
              <w:t>3、</w:t>
            </w:r>
            <w:r>
              <w:rPr>
                <w:sz w:val="24"/>
                <w:highlight w:val="none"/>
              </w:rPr>
              <w:t>大气环境：以各施工工区为中心，重点为施工区、施工道路沿线；</w:t>
            </w:r>
          </w:p>
          <w:p w14:paraId="22FCA7D8">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left"/>
              <w:textAlignment w:val="auto"/>
              <w:rPr>
                <w:sz w:val="24"/>
                <w:highlight w:val="none"/>
              </w:rPr>
            </w:pPr>
            <w:r>
              <w:rPr>
                <w:rFonts w:hint="eastAsia"/>
                <w:sz w:val="24"/>
                <w:highlight w:val="none"/>
                <w:lang w:val="en-US" w:eastAsia="zh-CN"/>
              </w:rPr>
              <w:t>4、</w:t>
            </w:r>
            <w:r>
              <w:rPr>
                <w:sz w:val="24"/>
                <w:highlight w:val="none"/>
              </w:rPr>
              <w:t>声环境：光伏场界围墙外</w:t>
            </w:r>
            <w:r>
              <w:rPr>
                <w:rFonts w:ascii="Times New Roman" w:eastAsia="Times New Roman"/>
                <w:sz w:val="24"/>
                <w:highlight w:val="none"/>
              </w:rPr>
              <w:t>200m</w:t>
            </w:r>
            <w:r>
              <w:rPr>
                <w:sz w:val="24"/>
                <w:highlight w:val="none"/>
              </w:rPr>
              <w:t>以内的范围区域；</w:t>
            </w:r>
          </w:p>
          <w:p w14:paraId="7DADC6E1">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left"/>
              <w:textAlignment w:val="auto"/>
              <w:rPr>
                <w:sz w:val="24"/>
                <w:highlight w:val="none"/>
              </w:rPr>
            </w:pPr>
            <w:r>
              <w:rPr>
                <w:rFonts w:hint="eastAsia"/>
                <w:sz w:val="24"/>
                <w:highlight w:val="none"/>
                <w:lang w:val="en-US" w:eastAsia="zh-CN"/>
              </w:rPr>
              <w:t>5、</w:t>
            </w:r>
            <w:r>
              <w:rPr>
                <w:sz w:val="24"/>
                <w:highlight w:val="none"/>
              </w:rPr>
              <w:t>固体废物：生活垃圾处置措施、以及少量的废太阳能电池组件处置措施等。</w:t>
            </w:r>
          </w:p>
        </w:tc>
      </w:tr>
      <w:tr w14:paraId="4D83D1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7" w:hRule="atLeast"/>
        </w:trPr>
        <w:tc>
          <w:tcPr>
            <w:tcW w:w="673" w:type="dxa"/>
            <w:tcBorders>
              <w:top w:val="single" w:color="000000" w:sz="4" w:space="0"/>
              <w:bottom w:val="single" w:color="000000" w:sz="4" w:space="0"/>
              <w:right w:val="single" w:color="000000" w:sz="4" w:space="0"/>
            </w:tcBorders>
          </w:tcPr>
          <w:p w14:paraId="601E91D6">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4"/>
                <w:highlight w:val="none"/>
              </w:rPr>
            </w:pPr>
          </w:p>
          <w:p w14:paraId="038F9E54">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4"/>
                <w:highlight w:val="none"/>
              </w:rPr>
            </w:pPr>
          </w:p>
          <w:p w14:paraId="02902065">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4"/>
                <w:highlight w:val="none"/>
              </w:rPr>
            </w:pPr>
          </w:p>
          <w:p w14:paraId="09A22798">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sz w:val="21"/>
                <w:highlight w:val="none"/>
              </w:rPr>
            </w:pPr>
          </w:p>
          <w:p w14:paraId="2AF8F9AA">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4"/>
                <w:highlight w:val="none"/>
              </w:rPr>
            </w:pPr>
            <w:r>
              <w:rPr>
                <w:sz w:val="24"/>
                <w:highlight w:val="none"/>
              </w:rPr>
              <w:t>调查因子</w:t>
            </w:r>
          </w:p>
        </w:tc>
        <w:tc>
          <w:tcPr>
            <w:tcW w:w="7848" w:type="dxa"/>
            <w:tcBorders>
              <w:top w:val="single" w:color="000000" w:sz="4" w:space="0"/>
              <w:left w:val="single" w:color="000000" w:sz="4" w:space="0"/>
              <w:bottom w:val="single" w:color="000000" w:sz="4" w:space="0"/>
            </w:tcBorders>
          </w:tcPr>
          <w:p w14:paraId="71C704F7">
            <w:pPr>
              <w:pStyle w:val="22"/>
              <w:numPr>
                <w:ilvl w:val="0"/>
                <w:numId w:val="1"/>
              </w:numPr>
              <w:tabs>
                <w:tab w:val="left" w:pos="720"/>
              </w:tabs>
              <w:spacing w:before="145" w:after="0" w:line="374" w:lineRule="auto"/>
              <w:ind w:left="112" w:right="87" w:firstLine="0"/>
              <w:jc w:val="left"/>
              <w:rPr>
                <w:sz w:val="24"/>
                <w:highlight w:val="none"/>
              </w:rPr>
            </w:pPr>
            <w:r>
              <w:rPr>
                <w:sz w:val="24"/>
                <w:highlight w:val="none"/>
              </w:rPr>
              <w:t>生态环境：被破坏地表植被的恢复情况及阶段性采取的植被恢复</w:t>
            </w:r>
            <w:r>
              <w:rPr>
                <w:spacing w:val="-5"/>
                <w:sz w:val="24"/>
                <w:highlight w:val="none"/>
              </w:rPr>
              <w:t>措施；水土保持措施运行情况；工程措施的水土保持效果和生态环境效</w:t>
            </w:r>
            <w:r>
              <w:rPr>
                <w:sz w:val="24"/>
                <w:highlight w:val="none"/>
              </w:rPr>
              <w:t>益，对出现的问题及时采取补救措施。</w:t>
            </w:r>
          </w:p>
          <w:p w14:paraId="2E3D2DA6">
            <w:pPr>
              <w:pStyle w:val="22"/>
              <w:numPr>
                <w:ilvl w:val="0"/>
                <w:numId w:val="1"/>
              </w:numPr>
              <w:tabs>
                <w:tab w:val="left" w:pos="720"/>
              </w:tabs>
              <w:spacing w:before="1" w:after="0" w:line="374" w:lineRule="auto"/>
              <w:ind w:left="112" w:right="87" w:firstLine="0"/>
              <w:jc w:val="left"/>
              <w:rPr>
                <w:sz w:val="24"/>
                <w:highlight w:val="none"/>
              </w:rPr>
            </w:pPr>
            <w:r>
              <w:rPr>
                <w:sz w:val="24"/>
                <w:highlight w:val="none"/>
              </w:rPr>
              <w:t>水环境：光伏组件清洗废水处理方式。</w:t>
            </w:r>
          </w:p>
          <w:p w14:paraId="72CBDA34">
            <w:pPr>
              <w:pStyle w:val="22"/>
              <w:numPr>
                <w:ilvl w:val="0"/>
                <w:numId w:val="1"/>
              </w:numPr>
              <w:tabs>
                <w:tab w:val="left" w:pos="714"/>
              </w:tabs>
              <w:spacing w:before="0" w:after="0" w:line="240" w:lineRule="auto"/>
              <w:ind w:left="713" w:right="0" w:hanging="602"/>
              <w:jc w:val="left"/>
              <w:rPr>
                <w:sz w:val="24"/>
                <w:highlight w:val="none"/>
              </w:rPr>
            </w:pPr>
            <w:r>
              <w:rPr>
                <w:sz w:val="24"/>
                <w:highlight w:val="none"/>
              </w:rPr>
              <w:t>声环境：等效连续</w:t>
            </w:r>
            <w:r>
              <w:rPr>
                <w:rFonts w:ascii="Times New Roman" w:eastAsia="Times New Roman"/>
                <w:sz w:val="24"/>
                <w:highlight w:val="none"/>
              </w:rPr>
              <w:t>A</w:t>
            </w:r>
            <w:r>
              <w:rPr>
                <w:sz w:val="24"/>
                <w:highlight w:val="none"/>
              </w:rPr>
              <w:t>声级（</w:t>
            </w:r>
            <w:r>
              <w:rPr>
                <w:rFonts w:ascii="Times New Roman" w:eastAsia="Times New Roman"/>
                <w:sz w:val="24"/>
                <w:highlight w:val="none"/>
              </w:rPr>
              <w:t>LAeq</w:t>
            </w:r>
            <w:r>
              <w:rPr>
                <w:sz w:val="24"/>
                <w:highlight w:val="none"/>
              </w:rPr>
              <w:t>）。</w:t>
            </w:r>
          </w:p>
          <w:p w14:paraId="6E19209B">
            <w:pPr>
              <w:pStyle w:val="22"/>
              <w:numPr>
                <w:ilvl w:val="0"/>
                <w:numId w:val="1"/>
              </w:numPr>
              <w:tabs>
                <w:tab w:val="left" w:pos="720"/>
              </w:tabs>
              <w:spacing w:before="0" w:after="0" w:line="480" w:lineRule="atLeast"/>
              <w:ind w:left="112" w:right="87" w:firstLine="0"/>
              <w:jc w:val="left"/>
              <w:rPr>
                <w:sz w:val="24"/>
                <w:highlight w:val="none"/>
              </w:rPr>
            </w:pPr>
            <w:r>
              <w:rPr>
                <w:sz w:val="24"/>
                <w:highlight w:val="none"/>
              </w:rPr>
              <w:t>固体废物：生活垃圾和少量的废太阳能电池组件产生量和处置去向及处理措施的合理性等。</w:t>
            </w:r>
          </w:p>
        </w:tc>
      </w:tr>
    </w:tbl>
    <w:p w14:paraId="587CCC6A">
      <w:pPr>
        <w:spacing w:after="0" w:line="480" w:lineRule="atLeast"/>
        <w:jc w:val="left"/>
        <w:rPr>
          <w:sz w:val="24"/>
          <w:highlight w:val="none"/>
        </w:rPr>
        <w:sectPr>
          <w:pgSz w:w="11910" w:h="16840"/>
          <w:pgMar w:top="1460" w:right="1440" w:bottom="1640" w:left="1580" w:header="0" w:footer="1378" w:gutter="0"/>
          <w:cols w:space="720" w:num="1"/>
        </w:sectPr>
      </w:pPr>
    </w:p>
    <w:tbl>
      <w:tblPr>
        <w:tblStyle w:val="10"/>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7846"/>
      </w:tblGrid>
      <w:tr w14:paraId="4AE57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17" w:hRule="atLeast"/>
        </w:trPr>
        <w:tc>
          <w:tcPr>
            <w:tcW w:w="675" w:type="dxa"/>
            <w:tcBorders>
              <w:left w:val="single" w:color="000000" w:sz="8" w:space="0"/>
            </w:tcBorders>
          </w:tcPr>
          <w:p w14:paraId="261A0B85">
            <w:pPr>
              <w:pStyle w:val="22"/>
              <w:keepNext w:val="0"/>
              <w:keepLines w:val="0"/>
              <w:pageBreakBefore w:val="0"/>
              <w:widowControl w:val="0"/>
              <w:kinsoku/>
              <w:wordWrap/>
              <w:overflowPunct/>
              <w:topLinePunct w:val="0"/>
              <w:bidi w:val="0"/>
              <w:adjustRightInd/>
              <w:snapToGrid/>
              <w:spacing w:before="0" w:line="240" w:lineRule="auto"/>
              <w:ind w:left="0" w:right="0"/>
              <w:textAlignment w:val="auto"/>
              <w:rPr>
                <w:b/>
                <w:sz w:val="24"/>
                <w:highlight w:val="none"/>
              </w:rPr>
            </w:pPr>
          </w:p>
          <w:p w14:paraId="65E2CB95">
            <w:pPr>
              <w:pStyle w:val="22"/>
              <w:keepNext w:val="0"/>
              <w:keepLines w:val="0"/>
              <w:pageBreakBefore w:val="0"/>
              <w:widowControl w:val="0"/>
              <w:kinsoku/>
              <w:wordWrap/>
              <w:overflowPunct/>
              <w:topLinePunct w:val="0"/>
              <w:bidi w:val="0"/>
              <w:adjustRightInd/>
              <w:snapToGrid/>
              <w:spacing w:before="0" w:line="240" w:lineRule="auto"/>
              <w:ind w:left="0" w:right="0"/>
              <w:textAlignment w:val="auto"/>
              <w:rPr>
                <w:b/>
                <w:sz w:val="24"/>
                <w:highlight w:val="none"/>
              </w:rPr>
            </w:pPr>
          </w:p>
          <w:p w14:paraId="3BC90763">
            <w:pPr>
              <w:pStyle w:val="22"/>
              <w:keepNext w:val="0"/>
              <w:keepLines w:val="0"/>
              <w:pageBreakBefore w:val="0"/>
              <w:widowControl w:val="0"/>
              <w:kinsoku/>
              <w:wordWrap/>
              <w:overflowPunct/>
              <w:topLinePunct w:val="0"/>
              <w:bidi w:val="0"/>
              <w:adjustRightInd/>
              <w:snapToGrid/>
              <w:spacing w:before="0" w:line="240" w:lineRule="auto"/>
              <w:ind w:left="0" w:right="0"/>
              <w:textAlignment w:val="auto"/>
              <w:rPr>
                <w:b/>
                <w:sz w:val="24"/>
                <w:highlight w:val="none"/>
              </w:rPr>
            </w:pPr>
          </w:p>
          <w:p w14:paraId="1AD9DAA3">
            <w:pPr>
              <w:pStyle w:val="22"/>
              <w:keepNext w:val="0"/>
              <w:keepLines w:val="0"/>
              <w:pageBreakBefore w:val="0"/>
              <w:widowControl w:val="0"/>
              <w:kinsoku/>
              <w:wordWrap/>
              <w:overflowPunct/>
              <w:topLinePunct w:val="0"/>
              <w:bidi w:val="0"/>
              <w:adjustRightInd/>
              <w:snapToGrid/>
              <w:spacing w:before="0" w:line="240" w:lineRule="auto"/>
              <w:ind w:left="0" w:right="0"/>
              <w:textAlignment w:val="auto"/>
              <w:rPr>
                <w:b/>
                <w:sz w:val="24"/>
                <w:highlight w:val="none"/>
              </w:rPr>
            </w:pPr>
          </w:p>
          <w:p w14:paraId="31D66FE3">
            <w:pPr>
              <w:pStyle w:val="22"/>
              <w:keepNext w:val="0"/>
              <w:keepLines w:val="0"/>
              <w:pageBreakBefore w:val="0"/>
              <w:widowControl w:val="0"/>
              <w:kinsoku/>
              <w:wordWrap/>
              <w:overflowPunct/>
              <w:topLinePunct w:val="0"/>
              <w:bidi w:val="0"/>
              <w:adjustRightInd/>
              <w:snapToGrid/>
              <w:spacing w:before="0" w:line="240" w:lineRule="auto"/>
              <w:ind w:left="0" w:right="0"/>
              <w:textAlignment w:val="auto"/>
              <w:rPr>
                <w:b/>
                <w:sz w:val="24"/>
                <w:highlight w:val="none"/>
              </w:rPr>
            </w:pPr>
          </w:p>
          <w:p w14:paraId="07624EB8">
            <w:pPr>
              <w:pStyle w:val="22"/>
              <w:keepNext w:val="0"/>
              <w:keepLines w:val="0"/>
              <w:pageBreakBefore w:val="0"/>
              <w:widowControl w:val="0"/>
              <w:kinsoku/>
              <w:wordWrap/>
              <w:overflowPunct/>
              <w:topLinePunct w:val="0"/>
              <w:bidi w:val="0"/>
              <w:adjustRightInd/>
              <w:snapToGrid/>
              <w:spacing w:before="0" w:line="240" w:lineRule="auto"/>
              <w:ind w:left="0" w:right="0"/>
              <w:textAlignment w:val="auto"/>
              <w:rPr>
                <w:b/>
                <w:sz w:val="24"/>
                <w:highlight w:val="none"/>
              </w:rPr>
            </w:pPr>
          </w:p>
          <w:p w14:paraId="098C171B">
            <w:pPr>
              <w:pStyle w:val="22"/>
              <w:keepNext w:val="0"/>
              <w:keepLines w:val="0"/>
              <w:pageBreakBefore w:val="0"/>
              <w:widowControl w:val="0"/>
              <w:kinsoku/>
              <w:wordWrap/>
              <w:overflowPunct/>
              <w:topLinePunct w:val="0"/>
              <w:bidi w:val="0"/>
              <w:adjustRightInd/>
              <w:snapToGrid/>
              <w:spacing w:before="0" w:line="240" w:lineRule="auto"/>
              <w:ind w:left="0" w:right="0"/>
              <w:textAlignment w:val="auto"/>
              <w:rPr>
                <w:b/>
                <w:sz w:val="24"/>
                <w:highlight w:val="none"/>
              </w:rPr>
            </w:pPr>
          </w:p>
          <w:p w14:paraId="35F0D770">
            <w:pPr>
              <w:pStyle w:val="22"/>
              <w:keepNext w:val="0"/>
              <w:keepLines w:val="0"/>
              <w:pageBreakBefore w:val="0"/>
              <w:widowControl w:val="0"/>
              <w:kinsoku/>
              <w:wordWrap/>
              <w:overflowPunct/>
              <w:topLinePunct w:val="0"/>
              <w:bidi w:val="0"/>
              <w:adjustRightInd/>
              <w:snapToGrid/>
              <w:spacing w:before="0" w:line="240" w:lineRule="auto"/>
              <w:ind w:left="0" w:right="0"/>
              <w:jc w:val="center"/>
              <w:textAlignment w:val="auto"/>
              <w:rPr>
                <w:sz w:val="24"/>
                <w:highlight w:val="none"/>
              </w:rPr>
            </w:pPr>
            <w:r>
              <w:rPr>
                <w:sz w:val="24"/>
                <w:highlight w:val="none"/>
              </w:rPr>
              <w:t>环境敏感目标</w:t>
            </w:r>
          </w:p>
        </w:tc>
        <w:tc>
          <w:tcPr>
            <w:tcW w:w="7846" w:type="dxa"/>
            <w:tcBorders>
              <w:bottom w:val="single" w:color="auto" w:sz="4" w:space="0"/>
              <w:right w:val="single" w:color="000000" w:sz="8" w:space="0"/>
            </w:tcBorders>
          </w:tcPr>
          <w:p w14:paraId="45E2C2A6">
            <w:pPr>
              <w:pStyle w:val="22"/>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textAlignment w:val="auto"/>
              <w:rPr>
                <w:sz w:val="24"/>
                <w:szCs w:val="24"/>
                <w:highlight w:val="none"/>
              </w:rPr>
            </w:pPr>
            <w:r>
              <w:rPr>
                <w:sz w:val="24"/>
                <w:szCs w:val="24"/>
                <w:highlight w:val="none"/>
              </w:rPr>
              <w:t>项目位于</w:t>
            </w:r>
            <w:r>
              <w:rPr>
                <w:rFonts w:hAnsi="宋体"/>
                <w:kern w:val="0"/>
                <w:sz w:val="24"/>
                <w:szCs w:val="24"/>
                <w:highlight w:val="none"/>
              </w:rPr>
              <w:t>广东省</w:t>
            </w:r>
            <w:r>
              <w:rPr>
                <w:rFonts w:hint="eastAsia" w:hAnsi="宋体"/>
                <w:kern w:val="0"/>
                <w:sz w:val="24"/>
                <w:szCs w:val="24"/>
                <w:highlight w:val="none"/>
              </w:rPr>
              <w:t>江门市</w:t>
            </w:r>
            <w:r>
              <w:rPr>
                <w:rFonts w:hAnsi="宋体"/>
                <w:kern w:val="0"/>
                <w:sz w:val="24"/>
                <w:szCs w:val="24"/>
                <w:highlight w:val="none"/>
              </w:rPr>
              <w:t>台山市汶村镇，项目分三期建设，一期项目位于大担村白沙围，厂区中心位置为东经</w:t>
            </w:r>
            <w:r>
              <w:rPr>
                <w:kern w:val="0"/>
                <w:sz w:val="24"/>
                <w:szCs w:val="24"/>
                <w:highlight w:val="none"/>
              </w:rPr>
              <w:t>112.423568°</w:t>
            </w:r>
            <w:r>
              <w:rPr>
                <w:rFonts w:hAnsi="宋体"/>
                <w:kern w:val="0"/>
                <w:sz w:val="24"/>
                <w:szCs w:val="24"/>
                <w:highlight w:val="none"/>
              </w:rPr>
              <w:t>，北纬</w:t>
            </w:r>
            <w:r>
              <w:rPr>
                <w:kern w:val="0"/>
                <w:sz w:val="24"/>
                <w:szCs w:val="24"/>
                <w:highlight w:val="none"/>
              </w:rPr>
              <w:t>21.885066°</w:t>
            </w:r>
            <w:r>
              <w:rPr>
                <w:rFonts w:hAnsi="宋体"/>
                <w:kern w:val="0"/>
                <w:sz w:val="24"/>
                <w:szCs w:val="24"/>
                <w:highlight w:val="none"/>
              </w:rPr>
              <w:t>，二期项目位于横山村二信围和咸围北，厂区中心位置为东经</w:t>
            </w:r>
            <w:r>
              <w:rPr>
                <w:kern w:val="0"/>
                <w:sz w:val="24"/>
                <w:szCs w:val="24"/>
                <w:highlight w:val="none"/>
              </w:rPr>
              <w:t>112.430348°</w:t>
            </w:r>
            <w:r>
              <w:rPr>
                <w:rFonts w:hAnsi="宋体"/>
                <w:kern w:val="0"/>
                <w:sz w:val="24"/>
                <w:szCs w:val="24"/>
                <w:highlight w:val="none"/>
              </w:rPr>
              <w:t>，北纬</w:t>
            </w:r>
            <w:r>
              <w:rPr>
                <w:kern w:val="0"/>
                <w:sz w:val="24"/>
                <w:szCs w:val="24"/>
                <w:highlight w:val="none"/>
              </w:rPr>
              <w:t>21.884680°</w:t>
            </w:r>
            <w:r>
              <w:rPr>
                <w:rFonts w:hAnsi="宋体"/>
                <w:kern w:val="0"/>
                <w:sz w:val="24"/>
                <w:szCs w:val="24"/>
                <w:highlight w:val="none"/>
              </w:rPr>
              <w:t>，三期项目位于上白沙村西面，厂区中心位置为东经</w:t>
            </w:r>
            <w:r>
              <w:rPr>
                <w:kern w:val="0"/>
                <w:sz w:val="24"/>
                <w:szCs w:val="24"/>
                <w:highlight w:val="none"/>
              </w:rPr>
              <w:t>112.420971°</w:t>
            </w:r>
            <w:r>
              <w:rPr>
                <w:rFonts w:hAnsi="宋体"/>
                <w:kern w:val="0"/>
                <w:sz w:val="24"/>
                <w:szCs w:val="24"/>
                <w:highlight w:val="none"/>
              </w:rPr>
              <w:t>，北纬</w:t>
            </w:r>
            <w:r>
              <w:rPr>
                <w:kern w:val="0"/>
                <w:sz w:val="24"/>
                <w:szCs w:val="24"/>
                <w:highlight w:val="none"/>
              </w:rPr>
              <w:t>21.896797°</w:t>
            </w:r>
            <w:r>
              <w:rPr>
                <w:rFonts w:hAnsi="宋体"/>
                <w:kern w:val="0"/>
                <w:sz w:val="24"/>
                <w:szCs w:val="24"/>
                <w:highlight w:val="none"/>
              </w:rPr>
              <w:t>。</w:t>
            </w:r>
            <w:r>
              <w:rPr>
                <w:sz w:val="24"/>
                <w:szCs w:val="24"/>
                <w:highlight w:val="none"/>
              </w:rPr>
              <w:t>项目四周均为</w:t>
            </w:r>
            <w:r>
              <w:rPr>
                <w:rFonts w:hint="eastAsia"/>
                <w:sz w:val="24"/>
                <w:szCs w:val="24"/>
                <w:highlight w:val="none"/>
                <w:lang w:val="en-US" w:eastAsia="zh-CN"/>
              </w:rPr>
              <w:t>鱼塘和农田</w:t>
            </w:r>
            <w:r>
              <w:rPr>
                <w:sz w:val="24"/>
                <w:szCs w:val="24"/>
                <w:highlight w:val="none"/>
              </w:rPr>
              <w:t xml:space="preserve">。项目场区周围没有其他风景游览区、名胜古迹及其他需要特别保护的敏感目标。项目主要环境保护对象及保护目标见表 </w:t>
            </w:r>
            <w:r>
              <w:rPr>
                <w:rFonts w:ascii="Times New Roman" w:hAnsi="Times New Roman" w:eastAsia="Times New Roman"/>
                <w:sz w:val="24"/>
                <w:szCs w:val="24"/>
                <w:highlight w:val="none"/>
              </w:rPr>
              <w:t>2-1</w:t>
            </w:r>
            <w:r>
              <w:rPr>
                <w:sz w:val="24"/>
                <w:szCs w:val="24"/>
                <w:highlight w:val="none"/>
              </w:rPr>
              <w:t>。</w:t>
            </w:r>
          </w:p>
          <w:p w14:paraId="1BFD0F66">
            <w:pPr>
              <w:pStyle w:val="22"/>
              <w:tabs>
                <w:tab w:val="left" w:pos="2661"/>
              </w:tabs>
              <w:spacing w:before="3" w:line="288" w:lineRule="exact"/>
              <w:ind w:left="1862"/>
              <w:rPr>
                <w:b/>
                <w:sz w:val="24"/>
                <w:highlight w:val="none"/>
              </w:rPr>
            </w:pPr>
            <w:bookmarkStart w:id="1" w:name="表2-1  主要环境保护对象及保护目标"/>
            <w:bookmarkEnd w:id="1"/>
            <w:r>
              <w:rPr>
                <w:b/>
                <w:sz w:val="24"/>
                <w:highlight w:val="none"/>
              </w:rPr>
              <w:t>表</w:t>
            </w:r>
            <w:r>
              <w:rPr>
                <w:rFonts w:ascii="Times New Roman" w:eastAsia="Times New Roman"/>
                <w:b/>
                <w:sz w:val="24"/>
                <w:highlight w:val="none"/>
              </w:rPr>
              <w:t>2-1</w:t>
            </w:r>
            <w:r>
              <w:rPr>
                <w:rFonts w:ascii="Times New Roman" w:eastAsia="Times New Roman"/>
                <w:b/>
                <w:sz w:val="24"/>
                <w:highlight w:val="none"/>
              </w:rPr>
              <w:tab/>
            </w:r>
            <w:r>
              <w:rPr>
                <w:b/>
                <w:sz w:val="24"/>
                <w:highlight w:val="none"/>
              </w:rPr>
              <w:t>主要环境保护对象及保护目标</w:t>
            </w:r>
          </w:p>
          <w:tbl>
            <w:tblPr>
              <w:tblStyle w:val="10"/>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9"/>
              <w:gridCol w:w="869"/>
              <w:gridCol w:w="871"/>
              <w:gridCol w:w="869"/>
              <w:gridCol w:w="869"/>
              <w:gridCol w:w="869"/>
              <w:gridCol w:w="870"/>
              <w:gridCol w:w="870"/>
              <w:gridCol w:w="870"/>
            </w:tblGrid>
            <w:tr w14:paraId="2B2F7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5" w:type="pct"/>
                  <w:vMerge w:val="restart"/>
                  <w:tcBorders>
                    <w:top w:val="single" w:color="000000" w:sz="8" w:space="0"/>
                    <w:left w:val="nil"/>
                    <w:bottom w:val="single" w:color="000000" w:sz="8" w:space="0"/>
                    <w:right w:val="single" w:color="000000" w:sz="8" w:space="0"/>
                  </w:tcBorders>
                  <w:shd w:val="clear" w:color="auto" w:fill="auto"/>
                  <w:vAlign w:val="center"/>
                </w:tcPr>
                <w:p w14:paraId="69137D6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名称</w:t>
                  </w:r>
                </w:p>
              </w:tc>
              <w:tc>
                <w:tcPr>
                  <w:tcW w:w="1111" w:type="pct"/>
                  <w:gridSpan w:val="2"/>
                  <w:tcBorders>
                    <w:top w:val="single" w:color="000000" w:sz="8" w:space="0"/>
                    <w:left w:val="nil"/>
                    <w:bottom w:val="single" w:color="000000" w:sz="8" w:space="0"/>
                    <w:right w:val="single" w:color="000000" w:sz="8" w:space="0"/>
                  </w:tcBorders>
                  <w:shd w:val="clear" w:color="auto" w:fill="auto"/>
                  <w:vAlign w:val="center"/>
                </w:tcPr>
                <w:p w14:paraId="2374090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坐标</w:t>
                  </w:r>
                </w:p>
              </w:tc>
              <w:tc>
                <w:tcPr>
                  <w:tcW w:w="555" w:type="pct"/>
                  <w:vMerge w:val="restart"/>
                  <w:tcBorders>
                    <w:top w:val="single" w:color="000000" w:sz="8" w:space="0"/>
                    <w:left w:val="nil"/>
                    <w:bottom w:val="single" w:color="000000" w:sz="8" w:space="0"/>
                    <w:right w:val="single" w:color="000000" w:sz="8" w:space="0"/>
                  </w:tcBorders>
                  <w:shd w:val="clear" w:color="auto" w:fill="auto"/>
                  <w:vAlign w:val="center"/>
                </w:tcPr>
                <w:p w14:paraId="1600F81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保护对象</w:t>
                  </w:r>
                </w:p>
              </w:tc>
              <w:tc>
                <w:tcPr>
                  <w:tcW w:w="555" w:type="pct"/>
                  <w:vMerge w:val="restart"/>
                  <w:tcBorders>
                    <w:top w:val="single" w:color="000000" w:sz="8" w:space="0"/>
                    <w:left w:val="nil"/>
                    <w:bottom w:val="single" w:color="000000" w:sz="8" w:space="0"/>
                    <w:right w:val="single" w:color="000000" w:sz="8" w:space="0"/>
                  </w:tcBorders>
                  <w:shd w:val="clear" w:color="auto" w:fill="auto"/>
                  <w:vAlign w:val="center"/>
                </w:tcPr>
                <w:p w14:paraId="5C186CE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规模</w:t>
                  </w:r>
                </w:p>
              </w:tc>
              <w:tc>
                <w:tcPr>
                  <w:tcW w:w="555" w:type="pct"/>
                  <w:vMerge w:val="restart"/>
                  <w:tcBorders>
                    <w:top w:val="single" w:color="000000" w:sz="8" w:space="0"/>
                    <w:left w:val="nil"/>
                    <w:bottom w:val="single" w:color="000000" w:sz="8" w:space="0"/>
                    <w:right w:val="single" w:color="000000" w:sz="8" w:space="0"/>
                  </w:tcBorders>
                  <w:shd w:val="clear" w:color="auto" w:fill="auto"/>
                  <w:vAlign w:val="center"/>
                </w:tcPr>
                <w:p w14:paraId="711F8C1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保护内容</w:t>
                  </w:r>
                </w:p>
              </w:tc>
              <w:tc>
                <w:tcPr>
                  <w:tcW w:w="555" w:type="pct"/>
                  <w:vMerge w:val="restart"/>
                  <w:tcBorders>
                    <w:top w:val="single" w:color="000000" w:sz="8" w:space="0"/>
                    <w:left w:val="nil"/>
                    <w:bottom w:val="single" w:color="000000" w:sz="8" w:space="0"/>
                    <w:right w:val="single" w:color="000000" w:sz="8" w:space="0"/>
                  </w:tcBorders>
                  <w:shd w:val="clear" w:color="auto" w:fill="auto"/>
                  <w:vAlign w:val="center"/>
                </w:tcPr>
                <w:p w14:paraId="220E79C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环境功能区</w:t>
                  </w:r>
                </w:p>
              </w:tc>
              <w:tc>
                <w:tcPr>
                  <w:tcW w:w="555" w:type="pct"/>
                  <w:vMerge w:val="restart"/>
                  <w:tcBorders>
                    <w:top w:val="single" w:color="000000" w:sz="8" w:space="0"/>
                    <w:left w:val="nil"/>
                    <w:bottom w:val="single" w:color="000000" w:sz="8" w:space="0"/>
                    <w:right w:val="single" w:color="000000" w:sz="8" w:space="0"/>
                  </w:tcBorders>
                  <w:shd w:val="clear" w:color="auto" w:fill="auto"/>
                  <w:vAlign w:val="center"/>
                </w:tcPr>
                <w:p w14:paraId="722B69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相对厂址方位</w:t>
                  </w:r>
                </w:p>
              </w:tc>
              <w:tc>
                <w:tcPr>
                  <w:tcW w:w="555" w:type="pct"/>
                  <w:vMerge w:val="restart"/>
                  <w:tcBorders>
                    <w:top w:val="single" w:color="000000" w:sz="8" w:space="0"/>
                    <w:left w:val="nil"/>
                    <w:bottom w:val="single" w:color="000000" w:sz="8" w:space="0"/>
                    <w:right w:val="nil"/>
                  </w:tcBorders>
                  <w:shd w:val="clear" w:color="auto" w:fill="auto"/>
                  <w:vAlign w:val="center"/>
                </w:tcPr>
                <w:p w14:paraId="3CFCE1B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相对厂界距离（</w:t>
                  </w:r>
                  <w:r>
                    <w:rPr>
                      <w:rStyle w:val="23"/>
                      <w:rFonts w:eastAsia="宋体"/>
                      <w:highlight w:val="none"/>
                      <w:lang w:val="en-US" w:eastAsia="zh-CN" w:bidi="ar"/>
                    </w:rPr>
                    <w:t>m</w:t>
                  </w:r>
                  <w:r>
                    <w:rPr>
                      <w:rStyle w:val="24"/>
                      <w:highlight w:val="none"/>
                      <w:lang w:val="en-US" w:eastAsia="zh-CN" w:bidi="ar"/>
                    </w:rPr>
                    <w:t>）</w:t>
                  </w:r>
                </w:p>
              </w:tc>
            </w:tr>
            <w:tr w14:paraId="0CDC8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55" w:type="pct"/>
                  <w:vMerge w:val="continue"/>
                  <w:tcBorders>
                    <w:top w:val="single" w:color="000000" w:sz="8" w:space="0"/>
                    <w:left w:val="nil"/>
                    <w:bottom w:val="single" w:color="000000" w:sz="8" w:space="0"/>
                    <w:right w:val="single" w:color="000000" w:sz="8" w:space="0"/>
                  </w:tcBorders>
                  <w:shd w:val="clear" w:color="auto" w:fill="auto"/>
                  <w:vAlign w:val="center"/>
                </w:tcPr>
                <w:p w14:paraId="012034D9">
                  <w:pPr>
                    <w:jc w:val="center"/>
                    <w:rPr>
                      <w:rFonts w:hint="eastAsia" w:ascii="宋体" w:hAnsi="宋体" w:eastAsia="宋体" w:cs="宋体"/>
                      <w:i w:val="0"/>
                      <w:iCs w:val="0"/>
                      <w:color w:val="000000"/>
                      <w:sz w:val="21"/>
                      <w:szCs w:val="21"/>
                      <w:highlight w:val="none"/>
                      <w:u w:val="none"/>
                    </w:rPr>
                  </w:pPr>
                </w:p>
              </w:tc>
              <w:tc>
                <w:tcPr>
                  <w:tcW w:w="555" w:type="pct"/>
                  <w:tcBorders>
                    <w:top w:val="nil"/>
                    <w:left w:val="nil"/>
                    <w:bottom w:val="single" w:color="000000" w:sz="8" w:space="0"/>
                    <w:right w:val="single" w:color="000000" w:sz="8" w:space="0"/>
                  </w:tcBorders>
                  <w:shd w:val="clear" w:color="auto" w:fill="auto"/>
                  <w:vAlign w:val="center"/>
                </w:tcPr>
                <w:p w14:paraId="7BF9EB5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X</w:t>
                  </w:r>
                </w:p>
              </w:tc>
              <w:tc>
                <w:tcPr>
                  <w:tcW w:w="555" w:type="pct"/>
                  <w:tcBorders>
                    <w:top w:val="nil"/>
                    <w:left w:val="nil"/>
                    <w:bottom w:val="single" w:color="000000" w:sz="8" w:space="0"/>
                    <w:right w:val="single" w:color="000000" w:sz="8" w:space="0"/>
                  </w:tcBorders>
                  <w:shd w:val="clear" w:color="auto" w:fill="auto"/>
                  <w:vAlign w:val="center"/>
                </w:tcPr>
                <w:p w14:paraId="0587947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Y</w:t>
                  </w:r>
                </w:p>
              </w:tc>
              <w:tc>
                <w:tcPr>
                  <w:tcW w:w="555" w:type="pct"/>
                  <w:vMerge w:val="continue"/>
                  <w:tcBorders>
                    <w:top w:val="single" w:color="000000" w:sz="8" w:space="0"/>
                    <w:left w:val="nil"/>
                    <w:bottom w:val="single" w:color="000000" w:sz="8" w:space="0"/>
                    <w:right w:val="single" w:color="000000" w:sz="8" w:space="0"/>
                  </w:tcBorders>
                  <w:shd w:val="clear" w:color="auto" w:fill="auto"/>
                  <w:vAlign w:val="center"/>
                </w:tcPr>
                <w:p w14:paraId="7BE3CADD">
                  <w:pPr>
                    <w:jc w:val="center"/>
                    <w:rPr>
                      <w:rFonts w:hint="eastAsia" w:ascii="宋体" w:hAnsi="宋体" w:eastAsia="宋体" w:cs="宋体"/>
                      <w:i w:val="0"/>
                      <w:iCs w:val="0"/>
                      <w:color w:val="000000"/>
                      <w:sz w:val="21"/>
                      <w:szCs w:val="21"/>
                      <w:highlight w:val="none"/>
                      <w:u w:val="none"/>
                    </w:rPr>
                  </w:pPr>
                </w:p>
              </w:tc>
              <w:tc>
                <w:tcPr>
                  <w:tcW w:w="555" w:type="pct"/>
                  <w:vMerge w:val="continue"/>
                  <w:tcBorders>
                    <w:top w:val="single" w:color="000000" w:sz="8" w:space="0"/>
                    <w:left w:val="nil"/>
                    <w:bottom w:val="single" w:color="000000" w:sz="8" w:space="0"/>
                    <w:right w:val="single" w:color="000000" w:sz="8" w:space="0"/>
                  </w:tcBorders>
                  <w:shd w:val="clear" w:color="auto" w:fill="auto"/>
                  <w:vAlign w:val="center"/>
                </w:tcPr>
                <w:p w14:paraId="39D9EC5D">
                  <w:pPr>
                    <w:jc w:val="center"/>
                    <w:rPr>
                      <w:rFonts w:hint="eastAsia" w:ascii="宋体" w:hAnsi="宋体" w:eastAsia="宋体" w:cs="宋体"/>
                      <w:i w:val="0"/>
                      <w:iCs w:val="0"/>
                      <w:color w:val="000000"/>
                      <w:sz w:val="21"/>
                      <w:szCs w:val="21"/>
                      <w:highlight w:val="none"/>
                      <w:u w:val="none"/>
                    </w:rPr>
                  </w:pPr>
                </w:p>
              </w:tc>
              <w:tc>
                <w:tcPr>
                  <w:tcW w:w="555" w:type="pct"/>
                  <w:vMerge w:val="continue"/>
                  <w:tcBorders>
                    <w:top w:val="single" w:color="000000" w:sz="8" w:space="0"/>
                    <w:left w:val="nil"/>
                    <w:bottom w:val="single" w:color="000000" w:sz="8" w:space="0"/>
                    <w:right w:val="single" w:color="000000" w:sz="8" w:space="0"/>
                  </w:tcBorders>
                  <w:shd w:val="clear" w:color="auto" w:fill="auto"/>
                  <w:vAlign w:val="center"/>
                </w:tcPr>
                <w:p w14:paraId="6EEDD59A">
                  <w:pPr>
                    <w:jc w:val="center"/>
                    <w:rPr>
                      <w:rFonts w:hint="eastAsia" w:ascii="宋体" w:hAnsi="宋体" w:eastAsia="宋体" w:cs="宋体"/>
                      <w:i w:val="0"/>
                      <w:iCs w:val="0"/>
                      <w:color w:val="000000"/>
                      <w:sz w:val="21"/>
                      <w:szCs w:val="21"/>
                      <w:highlight w:val="none"/>
                      <w:u w:val="none"/>
                    </w:rPr>
                  </w:pPr>
                </w:p>
              </w:tc>
              <w:tc>
                <w:tcPr>
                  <w:tcW w:w="555" w:type="pct"/>
                  <w:vMerge w:val="continue"/>
                  <w:tcBorders>
                    <w:top w:val="single" w:color="000000" w:sz="8" w:space="0"/>
                    <w:left w:val="nil"/>
                    <w:bottom w:val="single" w:color="000000" w:sz="8" w:space="0"/>
                    <w:right w:val="single" w:color="000000" w:sz="8" w:space="0"/>
                  </w:tcBorders>
                  <w:shd w:val="clear" w:color="auto" w:fill="auto"/>
                  <w:vAlign w:val="center"/>
                </w:tcPr>
                <w:p w14:paraId="0F48DE65">
                  <w:pPr>
                    <w:jc w:val="center"/>
                    <w:rPr>
                      <w:rFonts w:hint="eastAsia" w:ascii="宋体" w:hAnsi="宋体" w:eastAsia="宋体" w:cs="宋体"/>
                      <w:i w:val="0"/>
                      <w:iCs w:val="0"/>
                      <w:color w:val="000000"/>
                      <w:sz w:val="21"/>
                      <w:szCs w:val="21"/>
                      <w:highlight w:val="none"/>
                      <w:u w:val="none"/>
                    </w:rPr>
                  </w:pPr>
                </w:p>
              </w:tc>
              <w:tc>
                <w:tcPr>
                  <w:tcW w:w="555" w:type="pct"/>
                  <w:vMerge w:val="continue"/>
                  <w:tcBorders>
                    <w:top w:val="single" w:color="000000" w:sz="8" w:space="0"/>
                    <w:left w:val="nil"/>
                    <w:bottom w:val="single" w:color="000000" w:sz="8" w:space="0"/>
                    <w:right w:val="single" w:color="000000" w:sz="8" w:space="0"/>
                  </w:tcBorders>
                  <w:shd w:val="clear" w:color="auto" w:fill="auto"/>
                  <w:vAlign w:val="center"/>
                </w:tcPr>
                <w:p w14:paraId="494FEEE1">
                  <w:pPr>
                    <w:jc w:val="center"/>
                    <w:rPr>
                      <w:rFonts w:hint="eastAsia" w:ascii="宋体" w:hAnsi="宋体" w:eastAsia="宋体" w:cs="宋体"/>
                      <w:i w:val="0"/>
                      <w:iCs w:val="0"/>
                      <w:color w:val="000000"/>
                      <w:sz w:val="21"/>
                      <w:szCs w:val="21"/>
                      <w:highlight w:val="none"/>
                      <w:u w:val="none"/>
                    </w:rPr>
                  </w:pPr>
                </w:p>
              </w:tc>
              <w:tc>
                <w:tcPr>
                  <w:tcW w:w="555" w:type="pct"/>
                  <w:vMerge w:val="continue"/>
                  <w:tcBorders>
                    <w:top w:val="single" w:color="000000" w:sz="8" w:space="0"/>
                    <w:left w:val="nil"/>
                    <w:bottom w:val="single" w:color="000000" w:sz="8" w:space="0"/>
                    <w:right w:val="nil"/>
                  </w:tcBorders>
                  <w:shd w:val="clear" w:color="auto" w:fill="auto"/>
                  <w:vAlign w:val="center"/>
                </w:tcPr>
                <w:p w14:paraId="574206DB">
                  <w:pPr>
                    <w:jc w:val="center"/>
                    <w:rPr>
                      <w:rFonts w:hint="eastAsia" w:ascii="宋体" w:hAnsi="宋体" w:eastAsia="宋体" w:cs="宋体"/>
                      <w:i w:val="0"/>
                      <w:iCs w:val="0"/>
                      <w:color w:val="000000"/>
                      <w:sz w:val="21"/>
                      <w:szCs w:val="21"/>
                      <w:highlight w:val="none"/>
                      <w:u w:val="none"/>
                    </w:rPr>
                  </w:pPr>
                </w:p>
              </w:tc>
            </w:tr>
            <w:tr w14:paraId="4C5C1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55" w:type="pct"/>
                  <w:tcBorders>
                    <w:top w:val="nil"/>
                    <w:left w:val="nil"/>
                    <w:bottom w:val="single" w:color="000000" w:sz="8" w:space="0"/>
                    <w:right w:val="single" w:color="000000" w:sz="8" w:space="0"/>
                  </w:tcBorders>
                  <w:shd w:val="clear" w:color="auto" w:fill="auto"/>
                  <w:vAlign w:val="center"/>
                </w:tcPr>
                <w:p w14:paraId="52A7AD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横山村</w:t>
                  </w:r>
                </w:p>
              </w:tc>
              <w:tc>
                <w:tcPr>
                  <w:tcW w:w="555" w:type="pct"/>
                  <w:tcBorders>
                    <w:top w:val="nil"/>
                    <w:left w:val="nil"/>
                    <w:bottom w:val="single" w:color="000000" w:sz="8" w:space="0"/>
                    <w:right w:val="single" w:color="000000" w:sz="8" w:space="0"/>
                  </w:tcBorders>
                  <w:shd w:val="clear" w:color="auto" w:fill="auto"/>
                  <w:vAlign w:val="center"/>
                </w:tcPr>
                <w:p w14:paraId="742E301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900</w:t>
                  </w:r>
                </w:p>
              </w:tc>
              <w:tc>
                <w:tcPr>
                  <w:tcW w:w="555" w:type="pct"/>
                  <w:tcBorders>
                    <w:top w:val="nil"/>
                    <w:left w:val="nil"/>
                    <w:bottom w:val="single" w:color="000000" w:sz="8" w:space="0"/>
                    <w:right w:val="single" w:color="000000" w:sz="8" w:space="0"/>
                  </w:tcBorders>
                  <w:shd w:val="clear" w:color="auto" w:fill="auto"/>
                  <w:vAlign w:val="center"/>
                </w:tcPr>
                <w:p w14:paraId="41351EC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-660</w:t>
                  </w:r>
                </w:p>
              </w:tc>
              <w:tc>
                <w:tcPr>
                  <w:tcW w:w="555" w:type="pct"/>
                  <w:tcBorders>
                    <w:top w:val="nil"/>
                    <w:left w:val="nil"/>
                    <w:bottom w:val="single" w:color="000000" w:sz="8" w:space="0"/>
                    <w:right w:val="single" w:color="000000" w:sz="8" w:space="0"/>
                  </w:tcBorders>
                  <w:shd w:val="clear" w:color="auto" w:fill="auto"/>
                  <w:vAlign w:val="center"/>
                </w:tcPr>
                <w:p w14:paraId="30CA1D5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居民</w:t>
                  </w:r>
                </w:p>
              </w:tc>
              <w:tc>
                <w:tcPr>
                  <w:tcW w:w="555" w:type="pct"/>
                  <w:tcBorders>
                    <w:top w:val="nil"/>
                    <w:left w:val="nil"/>
                    <w:bottom w:val="single" w:color="000000" w:sz="8" w:space="0"/>
                    <w:right w:val="single" w:color="000000" w:sz="8" w:space="0"/>
                  </w:tcBorders>
                  <w:shd w:val="clear" w:color="auto" w:fill="auto"/>
                  <w:vAlign w:val="center"/>
                </w:tcPr>
                <w:p w14:paraId="3401901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80</w:t>
                  </w:r>
                  <w:r>
                    <w:rPr>
                      <w:rStyle w:val="24"/>
                      <w:highlight w:val="none"/>
                      <w:lang w:val="en-US" w:eastAsia="zh-CN" w:bidi="ar"/>
                    </w:rPr>
                    <w:t>户</w:t>
                  </w:r>
                </w:p>
              </w:tc>
              <w:tc>
                <w:tcPr>
                  <w:tcW w:w="555" w:type="pct"/>
                  <w:vMerge w:val="restart"/>
                  <w:tcBorders>
                    <w:top w:val="nil"/>
                    <w:left w:val="nil"/>
                    <w:bottom w:val="single" w:color="000000" w:sz="8" w:space="0"/>
                    <w:right w:val="single" w:color="000000" w:sz="8" w:space="0"/>
                  </w:tcBorders>
                  <w:shd w:val="clear" w:color="auto" w:fill="auto"/>
                  <w:vAlign w:val="center"/>
                </w:tcPr>
                <w:p w14:paraId="70BA22A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声</w:t>
                  </w:r>
                </w:p>
              </w:tc>
              <w:tc>
                <w:tcPr>
                  <w:tcW w:w="555" w:type="pct"/>
                  <w:vMerge w:val="restart"/>
                  <w:tcBorders>
                    <w:top w:val="nil"/>
                    <w:left w:val="nil"/>
                    <w:bottom w:val="single" w:color="000000" w:sz="8" w:space="0"/>
                    <w:right w:val="single" w:color="000000" w:sz="8" w:space="0"/>
                  </w:tcBorders>
                  <w:shd w:val="clear" w:color="auto" w:fill="auto"/>
                  <w:vAlign w:val="center"/>
                </w:tcPr>
                <w:p w14:paraId="10AAC8E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声环境</w:t>
                  </w:r>
                  <w:r>
                    <w:rPr>
                      <w:rStyle w:val="23"/>
                      <w:rFonts w:eastAsia="宋体"/>
                      <w:highlight w:val="none"/>
                      <w:lang w:val="en-US" w:eastAsia="zh-CN" w:bidi="ar"/>
                    </w:rPr>
                    <w:t>2</w:t>
                  </w:r>
                  <w:r>
                    <w:rPr>
                      <w:rStyle w:val="24"/>
                      <w:highlight w:val="none"/>
                      <w:lang w:val="en-US" w:eastAsia="zh-CN" w:bidi="ar"/>
                    </w:rPr>
                    <w:t>类功能</w:t>
                  </w:r>
                </w:p>
              </w:tc>
              <w:tc>
                <w:tcPr>
                  <w:tcW w:w="555" w:type="pct"/>
                  <w:tcBorders>
                    <w:top w:val="nil"/>
                    <w:left w:val="nil"/>
                    <w:bottom w:val="single" w:color="000000" w:sz="8" w:space="0"/>
                    <w:right w:val="single" w:color="000000" w:sz="8" w:space="0"/>
                  </w:tcBorders>
                  <w:shd w:val="clear" w:color="auto" w:fill="auto"/>
                  <w:vAlign w:val="center"/>
                </w:tcPr>
                <w:p w14:paraId="03BDA5F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一、二期项目东南面</w:t>
                  </w:r>
                </w:p>
              </w:tc>
              <w:tc>
                <w:tcPr>
                  <w:tcW w:w="555" w:type="pct"/>
                  <w:tcBorders>
                    <w:top w:val="nil"/>
                    <w:left w:val="nil"/>
                    <w:bottom w:val="single" w:color="000000" w:sz="8" w:space="0"/>
                    <w:right w:val="nil"/>
                  </w:tcBorders>
                  <w:shd w:val="clear" w:color="auto" w:fill="auto"/>
                  <w:vAlign w:val="center"/>
                </w:tcPr>
                <w:p w14:paraId="54FBCE9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140m</w:t>
                  </w:r>
                </w:p>
              </w:tc>
            </w:tr>
            <w:tr w14:paraId="59671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555" w:type="pct"/>
                  <w:tcBorders>
                    <w:top w:val="nil"/>
                    <w:left w:val="nil"/>
                    <w:bottom w:val="single" w:color="000000" w:sz="8" w:space="0"/>
                    <w:right w:val="single" w:color="000000" w:sz="8" w:space="0"/>
                  </w:tcBorders>
                  <w:shd w:val="clear" w:color="auto" w:fill="auto"/>
                  <w:vAlign w:val="center"/>
                </w:tcPr>
                <w:p w14:paraId="1F926FF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下白沙村</w:t>
                  </w:r>
                </w:p>
              </w:tc>
              <w:tc>
                <w:tcPr>
                  <w:tcW w:w="555" w:type="pct"/>
                  <w:tcBorders>
                    <w:top w:val="nil"/>
                    <w:left w:val="nil"/>
                    <w:bottom w:val="single" w:color="000000" w:sz="8" w:space="0"/>
                    <w:right w:val="single" w:color="000000" w:sz="8" w:space="0"/>
                  </w:tcBorders>
                  <w:shd w:val="clear" w:color="auto" w:fill="auto"/>
                  <w:vAlign w:val="center"/>
                </w:tcPr>
                <w:p w14:paraId="21757D0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-70</w:t>
                  </w:r>
                </w:p>
              </w:tc>
              <w:tc>
                <w:tcPr>
                  <w:tcW w:w="555" w:type="pct"/>
                  <w:tcBorders>
                    <w:top w:val="nil"/>
                    <w:left w:val="nil"/>
                    <w:bottom w:val="single" w:color="000000" w:sz="8" w:space="0"/>
                    <w:right w:val="single" w:color="000000" w:sz="8" w:space="0"/>
                  </w:tcBorders>
                  <w:shd w:val="clear" w:color="auto" w:fill="auto"/>
                  <w:vAlign w:val="center"/>
                </w:tcPr>
                <w:p w14:paraId="415997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525</w:t>
                  </w:r>
                </w:p>
              </w:tc>
              <w:tc>
                <w:tcPr>
                  <w:tcW w:w="555" w:type="pct"/>
                  <w:tcBorders>
                    <w:top w:val="nil"/>
                    <w:left w:val="nil"/>
                    <w:bottom w:val="single" w:color="000000" w:sz="8" w:space="0"/>
                    <w:right w:val="single" w:color="000000" w:sz="8" w:space="0"/>
                  </w:tcBorders>
                  <w:shd w:val="clear" w:color="auto" w:fill="auto"/>
                  <w:vAlign w:val="center"/>
                </w:tcPr>
                <w:p w14:paraId="4AA81C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居民</w:t>
                  </w:r>
                </w:p>
              </w:tc>
              <w:tc>
                <w:tcPr>
                  <w:tcW w:w="555" w:type="pct"/>
                  <w:tcBorders>
                    <w:top w:val="nil"/>
                    <w:left w:val="nil"/>
                    <w:bottom w:val="single" w:color="000000" w:sz="8" w:space="0"/>
                    <w:right w:val="single" w:color="000000" w:sz="8" w:space="0"/>
                  </w:tcBorders>
                  <w:shd w:val="clear" w:color="auto" w:fill="auto"/>
                  <w:vAlign w:val="center"/>
                </w:tcPr>
                <w:p w14:paraId="1149EE6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80</w:t>
                  </w:r>
                  <w:r>
                    <w:rPr>
                      <w:rStyle w:val="24"/>
                      <w:highlight w:val="none"/>
                      <w:lang w:val="en-US" w:eastAsia="zh-CN" w:bidi="ar"/>
                    </w:rPr>
                    <w:t>户</w:t>
                  </w:r>
                </w:p>
              </w:tc>
              <w:tc>
                <w:tcPr>
                  <w:tcW w:w="555" w:type="pct"/>
                  <w:vMerge w:val="continue"/>
                  <w:tcBorders>
                    <w:top w:val="nil"/>
                    <w:left w:val="nil"/>
                    <w:bottom w:val="single" w:color="000000" w:sz="8" w:space="0"/>
                    <w:right w:val="single" w:color="000000" w:sz="8" w:space="0"/>
                  </w:tcBorders>
                  <w:shd w:val="clear" w:color="auto" w:fill="auto"/>
                  <w:vAlign w:val="center"/>
                </w:tcPr>
                <w:p w14:paraId="6F87D124">
                  <w:pPr>
                    <w:jc w:val="center"/>
                    <w:rPr>
                      <w:rFonts w:hint="eastAsia" w:ascii="宋体" w:hAnsi="宋体" w:eastAsia="宋体" w:cs="宋体"/>
                      <w:i w:val="0"/>
                      <w:iCs w:val="0"/>
                      <w:color w:val="000000"/>
                      <w:sz w:val="21"/>
                      <w:szCs w:val="21"/>
                      <w:highlight w:val="none"/>
                      <w:u w:val="none"/>
                    </w:rPr>
                  </w:pPr>
                </w:p>
              </w:tc>
              <w:tc>
                <w:tcPr>
                  <w:tcW w:w="555" w:type="pct"/>
                  <w:vMerge w:val="continue"/>
                  <w:tcBorders>
                    <w:top w:val="nil"/>
                    <w:left w:val="nil"/>
                    <w:bottom w:val="single" w:color="000000" w:sz="8" w:space="0"/>
                    <w:right w:val="single" w:color="000000" w:sz="8" w:space="0"/>
                  </w:tcBorders>
                  <w:shd w:val="clear" w:color="auto" w:fill="auto"/>
                  <w:vAlign w:val="center"/>
                </w:tcPr>
                <w:p w14:paraId="533E2792">
                  <w:pPr>
                    <w:jc w:val="center"/>
                    <w:rPr>
                      <w:rFonts w:hint="eastAsia" w:ascii="宋体" w:hAnsi="宋体" w:eastAsia="宋体" w:cs="宋体"/>
                      <w:i w:val="0"/>
                      <w:iCs w:val="0"/>
                      <w:color w:val="000000"/>
                      <w:sz w:val="21"/>
                      <w:szCs w:val="21"/>
                      <w:highlight w:val="none"/>
                      <w:u w:val="none"/>
                    </w:rPr>
                  </w:pPr>
                </w:p>
              </w:tc>
              <w:tc>
                <w:tcPr>
                  <w:tcW w:w="555" w:type="pct"/>
                  <w:tcBorders>
                    <w:top w:val="nil"/>
                    <w:left w:val="nil"/>
                    <w:bottom w:val="single" w:color="000000" w:sz="8" w:space="0"/>
                    <w:right w:val="single" w:color="000000" w:sz="8" w:space="0"/>
                  </w:tcBorders>
                  <w:shd w:val="clear" w:color="auto" w:fill="auto"/>
                  <w:vAlign w:val="center"/>
                </w:tcPr>
                <w:p w14:paraId="252669D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一、二期项目北面</w:t>
                  </w:r>
                </w:p>
              </w:tc>
              <w:tc>
                <w:tcPr>
                  <w:tcW w:w="555" w:type="pct"/>
                  <w:tcBorders>
                    <w:top w:val="nil"/>
                    <w:left w:val="nil"/>
                    <w:bottom w:val="single" w:color="000000" w:sz="8" w:space="0"/>
                    <w:right w:val="nil"/>
                  </w:tcBorders>
                  <w:shd w:val="clear" w:color="auto" w:fill="auto"/>
                  <w:vAlign w:val="center"/>
                </w:tcPr>
                <w:p w14:paraId="0EDD580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130m</w:t>
                  </w:r>
                </w:p>
              </w:tc>
            </w:tr>
          </w:tbl>
          <w:p w14:paraId="3C9BC9A9">
            <w:pPr>
              <w:pStyle w:val="22"/>
              <w:tabs>
                <w:tab w:val="left" w:pos="2661"/>
              </w:tabs>
              <w:spacing w:before="3" w:line="288" w:lineRule="exact"/>
              <w:ind w:left="1862"/>
              <w:rPr>
                <w:b/>
                <w:sz w:val="24"/>
                <w:highlight w:val="none"/>
              </w:rPr>
            </w:pPr>
          </w:p>
        </w:tc>
      </w:tr>
      <w:tr w14:paraId="678BB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7" w:hRule="atLeast"/>
        </w:trPr>
        <w:tc>
          <w:tcPr>
            <w:tcW w:w="675" w:type="dxa"/>
            <w:tcBorders>
              <w:left w:val="single" w:color="000000" w:sz="8" w:space="0"/>
              <w:right w:val="single" w:color="auto" w:sz="4" w:space="0"/>
            </w:tcBorders>
          </w:tcPr>
          <w:p w14:paraId="792C4B62">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482" w:firstLineChars="200"/>
              <w:jc w:val="left"/>
              <w:textAlignment w:val="auto"/>
              <w:rPr>
                <w:b/>
                <w:sz w:val="24"/>
                <w:szCs w:val="24"/>
                <w:highlight w:val="none"/>
              </w:rPr>
            </w:pPr>
          </w:p>
          <w:p w14:paraId="06FCD385">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482" w:firstLineChars="200"/>
              <w:jc w:val="left"/>
              <w:textAlignment w:val="auto"/>
              <w:rPr>
                <w:b/>
                <w:sz w:val="24"/>
                <w:szCs w:val="24"/>
                <w:highlight w:val="none"/>
              </w:rPr>
            </w:pPr>
          </w:p>
          <w:p w14:paraId="5AF6C17D">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482" w:firstLineChars="200"/>
              <w:jc w:val="left"/>
              <w:textAlignment w:val="auto"/>
              <w:rPr>
                <w:b/>
                <w:sz w:val="24"/>
                <w:szCs w:val="24"/>
                <w:highlight w:val="none"/>
              </w:rPr>
            </w:pPr>
          </w:p>
          <w:p w14:paraId="5E6412ED">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482" w:firstLineChars="200"/>
              <w:jc w:val="left"/>
              <w:textAlignment w:val="auto"/>
              <w:rPr>
                <w:b/>
                <w:sz w:val="24"/>
                <w:szCs w:val="24"/>
                <w:highlight w:val="none"/>
              </w:rPr>
            </w:pPr>
          </w:p>
          <w:p w14:paraId="720CA074">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482" w:firstLineChars="200"/>
              <w:jc w:val="left"/>
              <w:textAlignment w:val="auto"/>
              <w:rPr>
                <w:b/>
                <w:sz w:val="24"/>
                <w:szCs w:val="24"/>
                <w:highlight w:val="none"/>
              </w:rPr>
            </w:pPr>
          </w:p>
          <w:p w14:paraId="45F010C2">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482" w:firstLineChars="200"/>
              <w:jc w:val="left"/>
              <w:textAlignment w:val="auto"/>
              <w:rPr>
                <w:b/>
                <w:sz w:val="24"/>
                <w:szCs w:val="24"/>
                <w:highlight w:val="none"/>
              </w:rPr>
            </w:pPr>
          </w:p>
          <w:p w14:paraId="2362E3CA">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482" w:firstLineChars="200"/>
              <w:jc w:val="left"/>
              <w:textAlignment w:val="auto"/>
              <w:rPr>
                <w:b/>
                <w:sz w:val="24"/>
                <w:szCs w:val="24"/>
                <w:highlight w:val="none"/>
              </w:rPr>
            </w:pPr>
          </w:p>
          <w:p w14:paraId="39D9CD8B">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482" w:firstLineChars="200"/>
              <w:jc w:val="left"/>
              <w:textAlignment w:val="auto"/>
              <w:rPr>
                <w:b/>
                <w:sz w:val="24"/>
                <w:szCs w:val="24"/>
                <w:highlight w:val="none"/>
              </w:rPr>
            </w:pPr>
          </w:p>
          <w:p w14:paraId="35851F89">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sz w:val="24"/>
                <w:szCs w:val="24"/>
                <w:highlight w:val="none"/>
              </w:rPr>
            </w:pPr>
            <w:r>
              <w:rPr>
                <w:sz w:val="24"/>
                <w:szCs w:val="24"/>
                <w:highlight w:val="none"/>
              </w:rPr>
              <w:t>调查重点</w:t>
            </w:r>
          </w:p>
        </w:tc>
        <w:tc>
          <w:tcPr>
            <w:tcW w:w="7846" w:type="dxa"/>
            <w:tcBorders>
              <w:top w:val="single" w:color="auto" w:sz="4" w:space="0"/>
              <w:left w:val="single" w:color="auto" w:sz="4" w:space="0"/>
              <w:bottom w:val="single" w:color="auto" w:sz="4" w:space="0"/>
              <w:right w:val="single" w:color="auto" w:sz="4" w:space="0"/>
            </w:tcBorders>
          </w:tcPr>
          <w:p w14:paraId="76D7CE1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szCs w:val="24"/>
                <w:highlight w:val="none"/>
              </w:rPr>
            </w:pPr>
            <w:r>
              <w:rPr>
                <w:sz w:val="24"/>
                <w:szCs w:val="24"/>
                <w:highlight w:val="none"/>
              </w:rPr>
              <w:t>本次调查的重点是工程建设及运行期间的生态影响、声环境影响、水环境影响、固体废物影响等，环评及其批复中提出的各项环境保护措施落实情况和有效性，本工程生态破坏的恢复、减缓与补充保护措施落实运行情况。</w:t>
            </w:r>
          </w:p>
          <w:p w14:paraId="128CFCD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szCs w:val="24"/>
                <w:highlight w:val="none"/>
              </w:rPr>
            </w:pPr>
            <w:r>
              <w:rPr>
                <w:rFonts w:hint="default"/>
                <w:sz w:val="24"/>
                <w:szCs w:val="24"/>
                <w:highlight w:val="none"/>
                <w:lang w:val="en-US" w:eastAsia="en-US"/>
              </w:rPr>
              <w:t>（1）</w:t>
            </w:r>
            <w:r>
              <w:rPr>
                <w:sz w:val="24"/>
                <w:szCs w:val="24"/>
                <w:highlight w:val="none"/>
              </w:rPr>
              <w:t>生态环境影响</w:t>
            </w:r>
          </w:p>
          <w:p w14:paraId="51BA7A7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szCs w:val="24"/>
                <w:highlight w:val="none"/>
              </w:rPr>
            </w:pPr>
            <w:r>
              <w:rPr>
                <w:sz w:val="24"/>
                <w:szCs w:val="24"/>
                <w:highlight w:val="none"/>
              </w:rPr>
              <w:t>调查光伏阵列和开关站施工过程中生态遭到破坏和进行恢复的情况。</w:t>
            </w:r>
          </w:p>
          <w:p w14:paraId="2349006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szCs w:val="24"/>
                <w:highlight w:val="none"/>
              </w:rPr>
            </w:pPr>
            <w:r>
              <w:rPr>
                <w:rFonts w:hint="default"/>
                <w:sz w:val="24"/>
                <w:szCs w:val="24"/>
                <w:highlight w:val="none"/>
                <w:lang w:val="en-US" w:eastAsia="en-US"/>
              </w:rPr>
              <w:t>（2）</w:t>
            </w:r>
            <w:r>
              <w:rPr>
                <w:sz w:val="24"/>
                <w:szCs w:val="24"/>
                <w:highlight w:val="none"/>
              </w:rPr>
              <w:t>噪声影响</w:t>
            </w:r>
          </w:p>
          <w:p w14:paraId="65D2936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szCs w:val="24"/>
                <w:highlight w:val="none"/>
              </w:rPr>
            </w:pPr>
            <w:r>
              <w:rPr>
                <w:sz w:val="24"/>
                <w:szCs w:val="24"/>
                <w:highlight w:val="none"/>
              </w:rPr>
              <w:t>厂界噪声的影响程度，调查环境影响报告表中提出的噪声防治措施的落实情况。</w:t>
            </w:r>
          </w:p>
          <w:p w14:paraId="6799958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szCs w:val="24"/>
                <w:highlight w:val="none"/>
              </w:rPr>
            </w:pPr>
            <w:r>
              <w:rPr>
                <w:rFonts w:hint="default"/>
                <w:sz w:val="24"/>
                <w:szCs w:val="24"/>
                <w:highlight w:val="none"/>
                <w:lang w:val="en-US" w:eastAsia="en-US"/>
              </w:rPr>
              <w:t>（3）</w:t>
            </w:r>
            <w:r>
              <w:rPr>
                <w:sz w:val="24"/>
                <w:szCs w:val="24"/>
                <w:highlight w:val="none"/>
              </w:rPr>
              <w:t>水环境影响</w:t>
            </w:r>
          </w:p>
          <w:p w14:paraId="0882BCC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szCs w:val="24"/>
                <w:highlight w:val="none"/>
              </w:rPr>
            </w:pPr>
            <w:r>
              <w:rPr>
                <w:sz w:val="24"/>
                <w:szCs w:val="24"/>
                <w:highlight w:val="none"/>
              </w:rPr>
              <w:t>光伏组件清洗废水排放去向及处理措施的合理性。</w:t>
            </w:r>
          </w:p>
          <w:p w14:paraId="5163F3D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szCs w:val="24"/>
                <w:highlight w:val="none"/>
              </w:rPr>
            </w:pPr>
            <w:r>
              <w:rPr>
                <w:rFonts w:hint="default"/>
                <w:sz w:val="24"/>
                <w:szCs w:val="24"/>
                <w:highlight w:val="none"/>
                <w:lang w:val="en-US" w:eastAsia="en-US"/>
              </w:rPr>
              <w:t>（4）</w:t>
            </w:r>
            <w:r>
              <w:rPr>
                <w:sz w:val="24"/>
                <w:szCs w:val="24"/>
                <w:highlight w:val="none"/>
              </w:rPr>
              <w:t>固体废物影响</w:t>
            </w:r>
          </w:p>
          <w:p w14:paraId="0A0F68B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szCs w:val="24"/>
                <w:highlight w:val="none"/>
              </w:rPr>
            </w:pPr>
            <w:r>
              <w:rPr>
                <w:sz w:val="24"/>
                <w:szCs w:val="24"/>
                <w:highlight w:val="none"/>
              </w:rPr>
              <w:t>重点对生活垃圾、废旧太阳能组件收储设施的设置及有效性进行调查。</w:t>
            </w:r>
          </w:p>
          <w:p w14:paraId="64B36DC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eastAsia="宋体"/>
                <w:szCs w:val="24"/>
                <w:highlight w:val="none"/>
                <w:lang w:eastAsia="zh-CN"/>
              </w:rPr>
            </w:pPr>
            <w:r>
              <w:rPr>
                <w:rFonts w:hint="default"/>
                <w:sz w:val="24"/>
                <w:szCs w:val="24"/>
                <w:highlight w:val="none"/>
                <w:lang w:val="en-US" w:eastAsia="en-US"/>
              </w:rPr>
              <w:t>（5）核实实际工程内容、方案设计变更情况和造成环境影响变化情况</w:t>
            </w:r>
            <w:r>
              <w:rPr>
                <w:rFonts w:hint="eastAsia"/>
                <w:sz w:val="24"/>
                <w:szCs w:val="24"/>
                <w:highlight w:val="none"/>
                <w:lang w:val="en-US" w:eastAsia="zh-CN"/>
              </w:rPr>
              <w:t>。</w:t>
            </w:r>
          </w:p>
        </w:tc>
      </w:tr>
    </w:tbl>
    <w:p w14:paraId="31425F1B">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sz w:val="24"/>
          <w:szCs w:val="24"/>
          <w:highlight w:val="none"/>
        </w:rPr>
        <w:sectPr>
          <w:pgSz w:w="11910" w:h="16840"/>
          <w:pgMar w:top="1420" w:right="1440" w:bottom="1560" w:left="1580" w:header="0" w:footer="1378" w:gutter="0"/>
          <w:cols w:space="720" w:num="1"/>
        </w:sectPr>
      </w:pPr>
    </w:p>
    <w:p w14:paraId="72CB5A9E">
      <w:pPr>
        <w:pStyle w:val="2"/>
        <w:tabs>
          <w:tab w:val="left" w:pos="801"/>
        </w:tabs>
        <w:spacing w:before="44"/>
        <w:rPr>
          <w:highlight w:val="none"/>
        </w:rPr>
      </w:pPr>
      <w:r>
        <w:rPr>
          <w:highlight w:val="none"/>
        </w:rPr>
        <w:t>表</w:t>
      </w:r>
      <w:r>
        <w:rPr>
          <w:rFonts w:ascii="Times New Roman" w:eastAsia="Times New Roman"/>
          <w:highlight w:val="none"/>
        </w:rPr>
        <w:t>3</w:t>
      </w:r>
      <w:r>
        <w:rPr>
          <w:rFonts w:ascii="Times New Roman" w:eastAsia="Times New Roman"/>
          <w:highlight w:val="none"/>
        </w:rPr>
        <w:tab/>
      </w:r>
      <w:r>
        <w:rPr>
          <w:highlight w:val="none"/>
        </w:rPr>
        <w:t>验收执行标准</w:t>
      </w:r>
    </w:p>
    <w:p w14:paraId="644B5AE5">
      <w:pPr>
        <w:pStyle w:val="5"/>
        <w:rPr>
          <w:b/>
          <w:sz w:val="5"/>
          <w:highlight w:val="none"/>
        </w:rPr>
      </w:pPr>
    </w:p>
    <w:tbl>
      <w:tblPr>
        <w:tblStyle w:val="10"/>
        <w:tblW w:w="0" w:type="auto"/>
        <w:tblInd w:w="12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94"/>
        <w:gridCol w:w="7742"/>
      </w:tblGrid>
      <w:tr w14:paraId="07004B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00" w:hRule="atLeast"/>
        </w:trPr>
        <w:tc>
          <w:tcPr>
            <w:tcW w:w="894" w:type="dxa"/>
            <w:tcBorders>
              <w:bottom w:val="single" w:color="000000" w:sz="4" w:space="0"/>
              <w:right w:val="single" w:color="000000" w:sz="4" w:space="0"/>
            </w:tcBorders>
          </w:tcPr>
          <w:p w14:paraId="23F90855">
            <w:pPr>
              <w:pStyle w:val="22"/>
              <w:spacing w:before="178" w:line="285" w:lineRule="auto"/>
              <w:ind w:left="335" w:right="301"/>
              <w:jc w:val="both"/>
              <w:rPr>
                <w:sz w:val="24"/>
                <w:highlight w:val="none"/>
              </w:rPr>
            </w:pPr>
            <w:r>
              <w:rPr>
                <w:sz w:val="24"/>
                <w:highlight w:val="none"/>
              </w:rPr>
              <w:t>环境质量标准</w:t>
            </w:r>
          </w:p>
        </w:tc>
        <w:tc>
          <w:tcPr>
            <w:tcW w:w="7742" w:type="dxa"/>
            <w:tcBorders>
              <w:left w:val="single" w:color="000000" w:sz="4" w:space="0"/>
              <w:bottom w:val="single" w:color="000000" w:sz="4" w:space="0"/>
            </w:tcBorders>
          </w:tcPr>
          <w:p w14:paraId="62D8F172">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sz w:val="24"/>
                <w:szCs w:val="24"/>
                <w:highlight w:val="none"/>
              </w:rPr>
            </w:pPr>
            <w:r>
              <w:rPr>
                <w:position w:val="2"/>
                <w:sz w:val="24"/>
                <w:szCs w:val="24"/>
                <w:highlight w:val="none"/>
              </w:rPr>
              <w:t>大气环境：</w:t>
            </w:r>
            <w:r>
              <w:rPr>
                <w:rFonts w:ascii="Times New Roman" w:eastAsia="Times New Roman"/>
                <w:position w:val="2"/>
                <w:sz w:val="24"/>
                <w:szCs w:val="24"/>
                <w:highlight w:val="none"/>
              </w:rPr>
              <w:t>SO</w:t>
            </w:r>
            <w:r>
              <w:rPr>
                <w:rFonts w:ascii="Times New Roman" w:eastAsia="Times New Roman"/>
                <w:sz w:val="24"/>
                <w:szCs w:val="24"/>
                <w:highlight w:val="none"/>
              </w:rPr>
              <w:t>2</w:t>
            </w:r>
            <w:r>
              <w:rPr>
                <w:position w:val="2"/>
                <w:sz w:val="24"/>
                <w:szCs w:val="24"/>
                <w:highlight w:val="none"/>
              </w:rPr>
              <w:t>、</w:t>
            </w:r>
            <w:r>
              <w:rPr>
                <w:rFonts w:ascii="Times New Roman" w:eastAsia="Times New Roman"/>
                <w:position w:val="2"/>
                <w:sz w:val="24"/>
                <w:szCs w:val="24"/>
                <w:highlight w:val="none"/>
              </w:rPr>
              <w:t>NO</w:t>
            </w:r>
            <w:r>
              <w:rPr>
                <w:rFonts w:ascii="Times New Roman" w:eastAsia="Times New Roman"/>
                <w:sz w:val="24"/>
                <w:szCs w:val="24"/>
                <w:highlight w:val="none"/>
              </w:rPr>
              <w:t>2</w:t>
            </w:r>
            <w:r>
              <w:rPr>
                <w:position w:val="2"/>
                <w:sz w:val="24"/>
                <w:szCs w:val="24"/>
                <w:highlight w:val="none"/>
              </w:rPr>
              <w:t>、</w:t>
            </w:r>
            <w:r>
              <w:rPr>
                <w:rFonts w:ascii="Times New Roman" w:eastAsia="Times New Roman"/>
                <w:position w:val="2"/>
                <w:sz w:val="24"/>
                <w:szCs w:val="24"/>
                <w:highlight w:val="none"/>
              </w:rPr>
              <w:t>CO</w:t>
            </w:r>
            <w:r>
              <w:rPr>
                <w:position w:val="2"/>
                <w:sz w:val="24"/>
                <w:szCs w:val="24"/>
                <w:highlight w:val="none"/>
              </w:rPr>
              <w:t>、</w:t>
            </w:r>
            <w:r>
              <w:rPr>
                <w:rFonts w:ascii="Times New Roman" w:eastAsia="Times New Roman"/>
                <w:position w:val="2"/>
                <w:sz w:val="24"/>
                <w:szCs w:val="24"/>
                <w:highlight w:val="none"/>
              </w:rPr>
              <w:t>O</w:t>
            </w:r>
            <w:r>
              <w:rPr>
                <w:rFonts w:ascii="Times New Roman" w:eastAsia="Times New Roman"/>
                <w:sz w:val="24"/>
                <w:szCs w:val="24"/>
                <w:highlight w:val="none"/>
              </w:rPr>
              <w:t>3</w:t>
            </w:r>
            <w:r>
              <w:rPr>
                <w:position w:val="2"/>
                <w:sz w:val="24"/>
                <w:szCs w:val="24"/>
                <w:highlight w:val="none"/>
              </w:rPr>
              <w:t>、</w:t>
            </w:r>
            <w:r>
              <w:rPr>
                <w:rFonts w:ascii="Times New Roman" w:eastAsia="Times New Roman"/>
                <w:position w:val="2"/>
                <w:sz w:val="24"/>
                <w:szCs w:val="24"/>
                <w:highlight w:val="none"/>
              </w:rPr>
              <w:t>PM</w:t>
            </w:r>
            <w:r>
              <w:rPr>
                <w:rFonts w:ascii="Times New Roman" w:eastAsia="Times New Roman"/>
                <w:sz w:val="24"/>
                <w:szCs w:val="24"/>
                <w:highlight w:val="none"/>
              </w:rPr>
              <w:t>10</w:t>
            </w:r>
            <w:r>
              <w:rPr>
                <w:position w:val="2"/>
                <w:sz w:val="24"/>
                <w:szCs w:val="24"/>
                <w:highlight w:val="none"/>
              </w:rPr>
              <w:t>、</w:t>
            </w:r>
            <w:r>
              <w:rPr>
                <w:rFonts w:ascii="Times New Roman" w:eastAsia="Times New Roman"/>
                <w:position w:val="2"/>
                <w:sz w:val="24"/>
                <w:szCs w:val="24"/>
                <w:highlight w:val="none"/>
              </w:rPr>
              <w:t>PM</w:t>
            </w:r>
            <w:r>
              <w:rPr>
                <w:rFonts w:ascii="Times New Roman" w:eastAsia="Times New Roman"/>
                <w:sz w:val="24"/>
                <w:szCs w:val="24"/>
                <w:highlight w:val="none"/>
              </w:rPr>
              <w:t>2.5</w:t>
            </w:r>
            <w:r>
              <w:rPr>
                <w:position w:val="2"/>
                <w:sz w:val="24"/>
                <w:szCs w:val="24"/>
                <w:highlight w:val="none"/>
              </w:rPr>
              <w:t>执行《环境空气质量</w:t>
            </w:r>
            <w:r>
              <w:rPr>
                <w:sz w:val="24"/>
                <w:szCs w:val="24"/>
                <w:highlight w:val="none"/>
              </w:rPr>
              <w:t>标准》（</w:t>
            </w:r>
            <w:r>
              <w:rPr>
                <w:rFonts w:ascii="Times New Roman" w:eastAsia="Times New Roman"/>
                <w:sz w:val="24"/>
                <w:szCs w:val="24"/>
                <w:highlight w:val="none"/>
              </w:rPr>
              <w:t>GB3095-2012</w:t>
            </w:r>
            <w:r>
              <w:rPr>
                <w:sz w:val="24"/>
                <w:szCs w:val="24"/>
                <w:highlight w:val="none"/>
              </w:rPr>
              <w:t>）二级标准；</w:t>
            </w:r>
          </w:p>
          <w:p w14:paraId="4448B6FC">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sz w:val="24"/>
                <w:szCs w:val="24"/>
                <w:highlight w:val="none"/>
              </w:rPr>
            </w:pPr>
            <w:r>
              <w:rPr>
                <w:sz w:val="24"/>
                <w:szCs w:val="24"/>
                <w:highlight w:val="none"/>
              </w:rPr>
              <w:t>地表水环境：执行《地表水质量标准》（</w:t>
            </w:r>
            <w:r>
              <w:rPr>
                <w:rFonts w:ascii="Times New Roman" w:hAnsi="Times New Roman" w:eastAsia="Times New Roman"/>
                <w:sz w:val="24"/>
                <w:szCs w:val="24"/>
                <w:highlight w:val="none"/>
              </w:rPr>
              <w:t>GB3838-2002</w:t>
            </w:r>
            <w:r>
              <w:rPr>
                <w:sz w:val="24"/>
                <w:szCs w:val="24"/>
                <w:highlight w:val="none"/>
              </w:rPr>
              <w:t>）</w:t>
            </w:r>
            <w:r>
              <w:rPr>
                <w:rFonts w:ascii="Times New Roman" w:hAnsi="Times New Roman" w:eastAsia="Times New Roman"/>
                <w:sz w:val="24"/>
                <w:szCs w:val="24"/>
                <w:highlight w:val="none"/>
              </w:rPr>
              <w:t>Ⅲ</w:t>
            </w:r>
            <w:r>
              <w:rPr>
                <w:sz w:val="24"/>
                <w:szCs w:val="24"/>
                <w:highlight w:val="none"/>
              </w:rPr>
              <w:t xml:space="preserve">类标准； </w:t>
            </w:r>
          </w:p>
          <w:p w14:paraId="1DDB4D7A">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sz w:val="24"/>
                <w:szCs w:val="24"/>
                <w:highlight w:val="none"/>
              </w:rPr>
            </w:pPr>
            <w:r>
              <w:rPr>
                <w:sz w:val="24"/>
                <w:szCs w:val="24"/>
                <w:highlight w:val="none"/>
              </w:rPr>
              <w:t>地下水环境：执行《地下水质量标准》（</w:t>
            </w:r>
            <w:r>
              <w:rPr>
                <w:rFonts w:ascii="Times New Roman" w:hAnsi="Times New Roman" w:eastAsia="Times New Roman"/>
                <w:sz w:val="24"/>
                <w:szCs w:val="24"/>
                <w:highlight w:val="none"/>
              </w:rPr>
              <w:t>GB/T14848--2017</w:t>
            </w:r>
            <w:r>
              <w:rPr>
                <w:sz w:val="24"/>
                <w:szCs w:val="24"/>
                <w:highlight w:val="none"/>
              </w:rPr>
              <w:t>）中</w:t>
            </w:r>
            <w:r>
              <w:rPr>
                <w:rFonts w:ascii="Times New Roman" w:hAnsi="Times New Roman" w:eastAsia="Times New Roman"/>
                <w:sz w:val="24"/>
                <w:szCs w:val="24"/>
                <w:highlight w:val="none"/>
              </w:rPr>
              <w:t>Ⅲ</w:t>
            </w:r>
            <w:r>
              <w:rPr>
                <w:sz w:val="24"/>
                <w:szCs w:val="24"/>
                <w:highlight w:val="none"/>
              </w:rPr>
              <w:t>类标准；</w:t>
            </w:r>
          </w:p>
          <w:p w14:paraId="578A80B8">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sz w:val="24"/>
                <w:highlight w:val="none"/>
              </w:rPr>
            </w:pPr>
            <w:r>
              <w:rPr>
                <w:sz w:val="24"/>
                <w:szCs w:val="24"/>
                <w:highlight w:val="none"/>
              </w:rPr>
              <w:t>声环境：执行《声环境质量标准》（</w:t>
            </w:r>
            <w:r>
              <w:rPr>
                <w:rFonts w:ascii="Times New Roman" w:eastAsia="Times New Roman"/>
                <w:sz w:val="24"/>
                <w:szCs w:val="24"/>
                <w:highlight w:val="none"/>
              </w:rPr>
              <w:t>GB3096-2008</w:t>
            </w:r>
            <w:r>
              <w:rPr>
                <w:sz w:val="24"/>
                <w:szCs w:val="24"/>
                <w:highlight w:val="none"/>
              </w:rPr>
              <w:t>）</w:t>
            </w:r>
            <w:r>
              <w:rPr>
                <w:rFonts w:hint="eastAsia" w:ascii="Times New Roman"/>
                <w:sz w:val="24"/>
                <w:szCs w:val="24"/>
                <w:highlight w:val="none"/>
                <w:lang w:val="en-US" w:eastAsia="zh-CN"/>
              </w:rPr>
              <w:t>2</w:t>
            </w:r>
            <w:r>
              <w:rPr>
                <w:sz w:val="24"/>
                <w:szCs w:val="24"/>
                <w:highlight w:val="none"/>
              </w:rPr>
              <w:t>类区标准。</w:t>
            </w:r>
          </w:p>
        </w:tc>
      </w:tr>
      <w:tr w14:paraId="18F989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24" w:hRule="atLeast"/>
        </w:trPr>
        <w:tc>
          <w:tcPr>
            <w:tcW w:w="894" w:type="dxa"/>
            <w:tcBorders>
              <w:top w:val="single" w:color="000000" w:sz="4" w:space="0"/>
              <w:bottom w:val="single" w:color="000000" w:sz="4" w:space="0"/>
              <w:right w:val="single" w:color="000000" w:sz="4" w:space="0"/>
            </w:tcBorders>
          </w:tcPr>
          <w:p w14:paraId="2C78BE10">
            <w:pPr>
              <w:pStyle w:val="22"/>
              <w:rPr>
                <w:b/>
                <w:sz w:val="24"/>
                <w:highlight w:val="none"/>
              </w:rPr>
            </w:pPr>
          </w:p>
          <w:p w14:paraId="35265A35">
            <w:pPr>
              <w:pStyle w:val="22"/>
              <w:rPr>
                <w:b/>
                <w:sz w:val="24"/>
                <w:highlight w:val="none"/>
              </w:rPr>
            </w:pPr>
          </w:p>
          <w:p w14:paraId="750846A2">
            <w:pPr>
              <w:pStyle w:val="22"/>
              <w:rPr>
                <w:b/>
                <w:sz w:val="24"/>
                <w:highlight w:val="none"/>
              </w:rPr>
            </w:pPr>
          </w:p>
          <w:p w14:paraId="2D90B162">
            <w:pPr>
              <w:pStyle w:val="22"/>
              <w:rPr>
                <w:b/>
                <w:sz w:val="29"/>
                <w:highlight w:val="none"/>
              </w:rPr>
            </w:pPr>
          </w:p>
          <w:p w14:paraId="7B55CEAC">
            <w:pPr>
              <w:pStyle w:val="22"/>
              <w:spacing w:line="283" w:lineRule="auto"/>
              <w:ind w:left="335" w:right="301"/>
              <w:jc w:val="both"/>
              <w:rPr>
                <w:sz w:val="24"/>
                <w:highlight w:val="none"/>
              </w:rPr>
            </w:pPr>
            <w:r>
              <w:rPr>
                <w:sz w:val="24"/>
                <w:highlight w:val="none"/>
              </w:rPr>
              <w:t>污染物排放标准</w:t>
            </w:r>
          </w:p>
        </w:tc>
        <w:tc>
          <w:tcPr>
            <w:tcW w:w="7742" w:type="dxa"/>
            <w:tcBorders>
              <w:top w:val="single" w:color="000000" w:sz="4" w:space="0"/>
              <w:left w:val="single" w:color="000000" w:sz="4" w:space="0"/>
              <w:bottom w:val="single" w:color="000000" w:sz="4" w:space="0"/>
            </w:tcBorders>
          </w:tcPr>
          <w:p w14:paraId="1322E2B8">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ascii="Times New Roman" w:eastAsia="Times New Roman"/>
                <w:b/>
                <w:sz w:val="24"/>
                <w:szCs w:val="24"/>
                <w:highlight w:val="none"/>
              </w:rPr>
            </w:pPr>
            <w:r>
              <w:rPr>
                <w:b/>
                <w:sz w:val="24"/>
                <w:szCs w:val="24"/>
                <w:highlight w:val="none"/>
              </w:rPr>
              <w:t>施工期</w:t>
            </w:r>
            <w:r>
              <w:rPr>
                <w:rFonts w:ascii="Times New Roman" w:eastAsia="Times New Roman"/>
                <w:b/>
                <w:sz w:val="24"/>
                <w:szCs w:val="24"/>
                <w:highlight w:val="none"/>
              </w:rPr>
              <w:t>:</w:t>
            </w:r>
          </w:p>
          <w:p w14:paraId="0F912DCC">
            <w:pPr>
              <w:pStyle w:val="22"/>
              <w:keepNext w:val="0"/>
              <w:keepLines w:val="0"/>
              <w:pageBreakBefore w:val="0"/>
              <w:widowControl w:val="0"/>
              <w:tabs>
                <w:tab w:val="left" w:pos="2525"/>
              </w:tabs>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eastAsia="宋体"/>
                <w:sz w:val="24"/>
                <w:szCs w:val="24"/>
                <w:highlight w:val="none"/>
                <w:lang w:eastAsia="zh-CN"/>
              </w:rPr>
            </w:pPr>
            <w:r>
              <w:rPr>
                <w:sz w:val="24"/>
                <w:szCs w:val="24"/>
                <w:highlight w:val="none"/>
              </w:rPr>
              <w:t>噪声：执行《建筑施工场界环境噪声排放标准》</w:t>
            </w:r>
            <w:r>
              <w:rPr>
                <w:rFonts w:ascii="Times New Roman" w:eastAsia="Times New Roman"/>
                <w:sz w:val="24"/>
                <w:szCs w:val="24"/>
                <w:highlight w:val="none"/>
              </w:rPr>
              <w:t>(GB12523-2011)</w:t>
            </w:r>
            <w:r>
              <w:rPr>
                <w:spacing w:val="-16"/>
                <w:sz w:val="24"/>
                <w:szCs w:val="24"/>
                <w:highlight w:val="none"/>
              </w:rPr>
              <w:t>。</w:t>
            </w:r>
            <w:r>
              <w:rPr>
                <w:sz w:val="24"/>
                <w:szCs w:val="24"/>
                <w:highlight w:val="none"/>
              </w:rPr>
              <w:t>昼间：</w:t>
            </w:r>
            <w:r>
              <w:rPr>
                <w:rFonts w:ascii="Times New Roman" w:eastAsia="Times New Roman"/>
                <w:sz w:val="24"/>
                <w:szCs w:val="24"/>
                <w:highlight w:val="none"/>
              </w:rPr>
              <w:t>70dB(A)</w:t>
            </w:r>
            <w:r>
              <w:rPr>
                <w:rFonts w:hint="eastAsia" w:ascii="Times New Roman"/>
                <w:sz w:val="24"/>
                <w:szCs w:val="24"/>
                <w:highlight w:val="none"/>
                <w:lang w:eastAsia="zh-CN"/>
              </w:rPr>
              <w:t>，</w:t>
            </w:r>
            <w:r>
              <w:rPr>
                <w:sz w:val="24"/>
                <w:szCs w:val="24"/>
                <w:highlight w:val="none"/>
              </w:rPr>
              <w:t>夜间：</w:t>
            </w:r>
            <w:r>
              <w:rPr>
                <w:rFonts w:ascii="Times New Roman" w:eastAsia="Times New Roman"/>
                <w:sz w:val="24"/>
                <w:szCs w:val="24"/>
                <w:highlight w:val="none"/>
              </w:rPr>
              <w:t>55dB(A)</w:t>
            </w:r>
            <w:r>
              <w:rPr>
                <w:rFonts w:hint="eastAsia" w:ascii="Times New Roman"/>
                <w:sz w:val="24"/>
                <w:szCs w:val="24"/>
                <w:highlight w:val="none"/>
                <w:lang w:eastAsia="zh-CN"/>
              </w:rPr>
              <w:t>。</w:t>
            </w:r>
          </w:p>
          <w:p w14:paraId="01E28AA7">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sz w:val="24"/>
                <w:szCs w:val="24"/>
                <w:highlight w:val="none"/>
              </w:rPr>
            </w:pPr>
            <w:r>
              <w:rPr>
                <w:rFonts w:hint="eastAsia"/>
                <w:sz w:val="24"/>
                <w:szCs w:val="24"/>
                <w:highlight w:val="none"/>
                <w:lang w:val="en-US" w:eastAsia="zh-CN"/>
              </w:rPr>
              <w:t>废气</w:t>
            </w:r>
            <w:r>
              <w:rPr>
                <w:sz w:val="24"/>
                <w:szCs w:val="24"/>
                <w:highlight w:val="none"/>
              </w:rPr>
              <w:t>：执行《施工场地扬尘排放标准》（</w:t>
            </w:r>
            <w:r>
              <w:rPr>
                <w:rFonts w:ascii="Times New Roman" w:eastAsia="Times New Roman"/>
                <w:sz w:val="24"/>
                <w:szCs w:val="24"/>
                <w:highlight w:val="none"/>
              </w:rPr>
              <w:t>DB13/2934-2019</w:t>
            </w:r>
            <w:r>
              <w:rPr>
                <w:sz w:val="24"/>
                <w:szCs w:val="24"/>
                <w:highlight w:val="none"/>
              </w:rPr>
              <w:t>）表</w:t>
            </w:r>
            <w:r>
              <w:rPr>
                <w:rFonts w:ascii="Times New Roman" w:eastAsia="Times New Roman"/>
                <w:sz w:val="24"/>
                <w:szCs w:val="24"/>
                <w:highlight w:val="none"/>
              </w:rPr>
              <w:t>1</w:t>
            </w:r>
            <w:r>
              <w:rPr>
                <w:sz w:val="24"/>
                <w:szCs w:val="24"/>
                <w:highlight w:val="none"/>
              </w:rPr>
              <w:t>扬尘排放浓度限值。</w:t>
            </w:r>
          </w:p>
          <w:p w14:paraId="50E5A333">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b/>
                <w:sz w:val="24"/>
                <w:szCs w:val="24"/>
                <w:highlight w:val="none"/>
              </w:rPr>
            </w:pPr>
            <w:r>
              <w:rPr>
                <w:b/>
                <w:sz w:val="24"/>
                <w:szCs w:val="24"/>
                <w:highlight w:val="none"/>
              </w:rPr>
              <w:t>营运期：</w:t>
            </w:r>
          </w:p>
          <w:p w14:paraId="17A29018">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textAlignment w:val="auto"/>
              <w:rPr>
                <w:sz w:val="24"/>
                <w:szCs w:val="24"/>
                <w:highlight w:val="none"/>
              </w:rPr>
            </w:pPr>
            <w:r>
              <w:rPr>
                <w:spacing w:val="-9"/>
                <w:sz w:val="24"/>
                <w:szCs w:val="24"/>
                <w:highlight w:val="none"/>
              </w:rPr>
              <w:t>声环境：执行《工业企业厂界环境噪声排放标准》</w:t>
            </w:r>
            <w:r>
              <w:rPr>
                <w:sz w:val="24"/>
                <w:szCs w:val="24"/>
                <w:highlight w:val="none"/>
              </w:rPr>
              <w:t>（</w:t>
            </w:r>
            <w:r>
              <w:rPr>
                <w:rFonts w:ascii="Times New Roman" w:eastAsia="Times New Roman"/>
                <w:sz w:val="24"/>
                <w:szCs w:val="24"/>
                <w:highlight w:val="none"/>
              </w:rPr>
              <w:t>GB12348-2008</w:t>
            </w:r>
            <w:r>
              <w:rPr>
                <w:sz w:val="24"/>
                <w:szCs w:val="24"/>
                <w:highlight w:val="none"/>
              </w:rPr>
              <w:t>） 中</w:t>
            </w:r>
            <w:r>
              <w:rPr>
                <w:rFonts w:hint="eastAsia" w:ascii="Times New Roman"/>
                <w:sz w:val="24"/>
                <w:szCs w:val="24"/>
                <w:highlight w:val="none"/>
                <w:lang w:val="en-US" w:eastAsia="zh-CN"/>
              </w:rPr>
              <w:t>2</w:t>
            </w:r>
            <w:r>
              <w:rPr>
                <w:sz w:val="24"/>
                <w:szCs w:val="24"/>
                <w:highlight w:val="none"/>
              </w:rPr>
              <w:t>类区标准。</w:t>
            </w:r>
          </w:p>
          <w:p w14:paraId="76EA1720">
            <w:pPr>
              <w:pStyle w:val="22"/>
              <w:keepNext w:val="0"/>
              <w:keepLines w:val="0"/>
              <w:pageBreakBefore w:val="0"/>
              <w:widowControl w:val="0"/>
              <w:tabs>
                <w:tab w:val="left" w:pos="2645"/>
              </w:tabs>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eastAsia="宋体"/>
                <w:sz w:val="24"/>
                <w:szCs w:val="24"/>
                <w:highlight w:val="none"/>
                <w:lang w:eastAsia="zh-CN"/>
              </w:rPr>
            </w:pPr>
            <w:r>
              <w:rPr>
                <w:sz w:val="24"/>
                <w:szCs w:val="24"/>
                <w:highlight w:val="none"/>
              </w:rPr>
              <w:t>昼间：</w:t>
            </w:r>
            <w:r>
              <w:rPr>
                <w:rFonts w:hint="eastAsia"/>
                <w:sz w:val="24"/>
                <w:szCs w:val="24"/>
                <w:highlight w:val="none"/>
                <w:lang w:val="en-US" w:eastAsia="zh-CN"/>
              </w:rPr>
              <w:t>60</w:t>
            </w:r>
            <w:r>
              <w:rPr>
                <w:rFonts w:ascii="Times New Roman" w:eastAsia="Times New Roman"/>
                <w:sz w:val="24"/>
                <w:szCs w:val="24"/>
                <w:highlight w:val="none"/>
              </w:rPr>
              <w:t>dB(A)</w:t>
            </w:r>
            <w:r>
              <w:rPr>
                <w:rFonts w:hint="eastAsia" w:ascii="Times New Roman"/>
                <w:sz w:val="24"/>
                <w:szCs w:val="24"/>
                <w:highlight w:val="none"/>
                <w:lang w:eastAsia="zh-CN"/>
              </w:rPr>
              <w:t>，</w:t>
            </w:r>
            <w:r>
              <w:rPr>
                <w:sz w:val="24"/>
                <w:szCs w:val="24"/>
                <w:highlight w:val="none"/>
              </w:rPr>
              <w:t>夜间：</w:t>
            </w:r>
            <w:r>
              <w:rPr>
                <w:rFonts w:hint="eastAsia" w:ascii="Times New Roman"/>
                <w:sz w:val="24"/>
                <w:szCs w:val="24"/>
                <w:highlight w:val="none"/>
                <w:lang w:val="en-US" w:eastAsia="zh-CN"/>
              </w:rPr>
              <w:t>50</w:t>
            </w:r>
            <w:r>
              <w:rPr>
                <w:rFonts w:ascii="Times New Roman" w:eastAsia="Times New Roman"/>
                <w:sz w:val="24"/>
                <w:szCs w:val="24"/>
                <w:highlight w:val="none"/>
              </w:rPr>
              <w:t>dB(A)</w:t>
            </w:r>
            <w:r>
              <w:rPr>
                <w:rFonts w:hint="eastAsia" w:ascii="Times New Roman"/>
                <w:sz w:val="24"/>
                <w:szCs w:val="24"/>
                <w:highlight w:val="none"/>
                <w:lang w:eastAsia="zh-CN"/>
              </w:rPr>
              <w:t>。</w:t>
            </w:r>
          </w:p>
          <w:p w14:paraId="74A67C02">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sz w:val="24"/>
                <w:highlight w:val="none"/>
              </w:rPr>
            </w:pPr>
            <w:r>
              <w:rPr>
                <w:sz w:val="24"/>
                <w:szCs w:val="24"/>
                <w:highlight w:val="none"/>
              </w:rPr>
              <w:t>固体废物：执行《一般工业固体废物贮存、处置场污染控制标准》（</w:t>
            </w:r>
            <w:r>
              <w:rPr>
                <w:rFonts w:ascii="Times New Roman" w:eastAsia="Times New Roman"/>
                <w:sz w:val="24"/>
                <w:szCs w:val="24"/>
                <w:highlight w:val="none"/>
              </w:rPr>
              <w:t>GB18599-2020</w:t>
            </w:r>
            <w:r>
              <w:rPr>
                <w:sz w:val="24"/>
                <w:szCs w:val="24"/>
                <w:highlight w:val="none"/>
              </w:rPr>
              <w:t>）中相关要求。</w:t>
            </w:r>
          </w:p>
        </w:tc>
      </w:tr>
      <w:tr w14:paraId="2BD7C1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6" w:hRule="atLeast"/>
        </w:trPr>
        <w:tc>
          <w:tcPr>
            <w:tcW w:w="894" w:type="dxa"/>
            <w:tcBorders>
              <w:top w:val="single" w:color="000000" w:sz="4" w:space="0"/>
              <w:right w:val="single" w:color="000000" w:sz="4" w:space="0"/>
            </w:tcBorders>
            <w:vAlign w:val="center"/>
          </w:tcPr>
          <w:p w14:paraId="63E250BE">
            <w:pPr>
              <w:pStyle w:val="22"/>
              <w:spacing w:before="175" w:line="283" w:lineRule="auto"/>
              <w:ind w:left="335" w:right="301"/>
              <w:jc w:val="both"/>
              <w:rPr>
                <w:sz w:val="24"/>
                <w:highlight w:val="none"/>
              </w:rPr>
            </w:pPr>
            <w:r>
              <w:rPr>
                <w:sz w:val="24"/>
                <w:highlight w:val="none"/>
              </w:rPr>
              <w:t>总量控制指标</w:t>
            </w:r>
          </w:p>
        </w:tc>
        <w:tc>
          <w:tcPr>
            <w:tcW w:w="7742" w:type="dxa"/>
            <w:tcBorders>
              <w:top w:val="single" w:color="000000" w:sz="4" w:space="0"/>
              <w:left w:val="single" w:color="000000" w:sz="4" w:space="0"/>
            </w:tcBorders>
            <w:vAlign w:val="center"/>
          </w:tcPr>
          <w:p w14:paraId="09AC8A0C">
            <w:pPr>
              <w:pStyle w:val="22"/>
              <w:spacing w:before="91"/>
              <w:ind w:left="111"/>
              <w:rPr>
                <w:sz w:val="24"/>
                <w:highlight w:val="none"/>
              </w:rPr>
            </w:pPr>
            <w:r>
              <w:rPr>
                <w:rFonts w:hint="eastAsia"/>
                <w:sz w:val="24"/>
                <w:highlight w:val="none"/>
                <w:lang w:val="en-US" w:eastAsia="zh-CN"/>
              </w:rPr>
              <w:t>根据江台环审﹝2021﹞21号，本项目无</w:t>
            </w:r>
            <w:r>
              <w:rPr>
                <w:sz w:val="24"/>
                <w:highlight w:val="none"/>
              </w:rPr>
              <w:t>总量控制指标</w:t>
            </w:r>
            <w:r>
              <w:rPr>
                <w:position w:val="2"/>
                <w:sz w:val="24"/>
                <w:highlight w:val="none"/>
              </w:rPr>
              <w:t>。</w:t>
            </w:r>
          </w:p>
        </w:tc>
      </w:tr>
    </w:tbl>
    <w:p w14:paraId="7B041A1C">
      <w:pPr>
        <w:spacing w:after="0"/>
        <w:rPr>
          <w:sz w:val="24"/>
          <w:highlight w:val="none"/>
        </w:rPr>
        <w:sectPr>
          <w:pgSz w:w="11910" w:h="16840"/>
          <w:pgMar w:top="1380" w:right="1440" w:bottom="1640" w:left="1580" w:header="0" w:footer="1378" w:gutter="0"/>
          <w:cols w:space="720" w:num="1"/>
        </w:sectPr>
      </w:pPr>
    </w:p>
    <w:p w14:paraId="6C10DEF3">
      <w:pPr>
        <w:pStyle w:val="2"/>
        <w:tabs>
          <w:tab w:val="left" w:pos="801"/>
        </w:tabs>
        <w:spacing w:before="36"/>
        <w:ind w:right="136"/>
        <w:rPr>
          <w:highlight w:val="none"/>
        </w:rPr>
      </w:pPr>
      <w:r>
        <w:rPr>
          <w:highlight w:val="none"/>
        </w:rPr>
        <w:t>表</w:t>
      </w:r>
      <w:r>
        <w:rPr>
          <w:rFonts w:ascii="Times New Roman" w:eastAsia="Times New Roman"/>
          <w:highlight w:val="none"/>
        </w:rPr>
        <w:t>4</w:t>
      </w:r>
      <w:r>
        <w:rPr>
          <w:rFonts w:ascii="Times New Roman" w:eastAsia="Times New Roman"/>
          <w:highlight w:val="none"/>
        </w:rPr>
        <w:tab/>
      </w:r>
      <w:r>
        <w:rPr>
          <w:highlight w:val="none"/>
        </w:rPr>
        <w:t>工程概况</w:t>
      </w:r>
    </w:p>
    <w:p w14:paraId="0537BEC5">
      <w:pPr>
        <w:pStyle w:val="5"/>
        <w:spacing w:before="4"/>
        <w:rPr>
          <w:b/>
          <w:sz w:val="7"/>
          <w:highlight w:val="none"/>
        </w:rPr>
      </w:pPr>
    </w:p>
    <w:tbl>
      <w:tblPr>
        <w:tblStyle w:val="10"/>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517"/>
        <w:gridCol w:w="6161"/>
      </w:tblGrid>
      <w:tr w14:paraId="64C596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trPr>
        <w:tc>
          <w:tcPr>
            <w:tcW w:w="2360" w:type="dxa"/>
            <w:tcBorders>
              <w:right w:val="single" w:color="000000" w:sz="4" w:space="0"/>
            </w:tcBorders>
          </w:tcPr>
          <w:p w14:paraId="1F11FA80">
            <w:pPr>
              <w:pStyle w:val="22"/>
              <w:spacing w:before="214"/>
              <w:ind w:left="753"/>
              <w:rPr>
                <w:b/>
                <w:sz w:val="24"/>
                <w:highlight w:val="none"/>
              </w:rPr>
            </w:pPr>
            <w:r>
              <w:rPr>
                <w:b/>
                <w:sz w:val="24"/>
                <w:highlight w:val="none"/>
              </w:rPr>
              <w:t>项目名称</w:t>
            </w:r>
          </w:p>
        </w:tc>
        <w:tc>
          <w:tcPr>
            <w:tcW w:w="6161" w:type="dxa"/>
            <w:tcBorders>
              <w:left w:val="single" w:color="000000" w:sz="4" w:space="0"/>
            </w:tcBorders>
          </w:tcPr>
          <w:p w14:paraId="746CC82F">
            <w:pPr>
              <w:pStyle w:val="22"/>
              <w:spacing w:before="181"/>
              <w:ind w:left="718"/>
              <w:rPr>
                <w:rFonts w:hint="eastAsia" w:eastAsia="宋体"/>
                <w:sz w:val="24"/>
                <w:highlight w:val="none"/>
                <w:lang w:eastAsia="zh-CN"/>
              </w:rPr>
            </w:pPr>
            <w:r>
              <w:rPr>
                <w:rFonts w:hint="eastAsia"/>
                <w:sz w:val="24"/>
                <w:highlight w:val="none"/>
                <w:lang w:eastAsia="zh-CN"/>
              </w:rPr>
              <w:t>台山鑫昊150MW渔光互补光伏发电项目（</w:t>
            </w:r>
            <w:r>
              <w:rPr>
                <w:rFonts w:hint="eastAsia"/>
                <w:sz w:val="24"/>
                <w:highlight w:val="none"/>
                <w:lang w:val="en-US" w:eastAsia="zh-CN"/>
              </w:rPr>
              <w:t>一期</w:t>
            </w:r>
            <w:r>
              <w:rPr>
                <w:rFonts w:hint="eastAsia"/>
                <w:sz w:val="24"/>
                <w:highlight w:val="none"/>
                <w:lang w:eastAsia="zh-CN"/>
              </w:rPr>
              <w:t>）</w:t>
            </w:r>
          </w:p>
        </w:tc>
      </w:tr>
      <w:tr w14:paraId="6C51C7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9" w:hRule="atLeast"/>
        </w:trPr>
        <w:tc>
          <w:tcPr>
            <w:tcW w:w="2360" w:type="dxa"/>
            <w:tcBorders>
              <w:right w:val="single" w:color="000000" w:sz="4" w:space="0"/>
            </w:tcBorders>
          </w:tcPr>
          <w:p w14:paraId="79058251">
            <w:pPr>
              <w:pStyle w:val="22"/>
              <w:spacing w:before="175"/>
              <w:ind w:left="508"/>
              <w:rPr>
                <w:sz w:val="24"/>
                <w:highlight w:val="none"/>
              </w:rPr>
            </w:pPr>
            <w:r>
              <w:rPr>
                <w:sz w:val="24"/>
                <w:highlight w:val="none"/>
              </w:rPr>
              <w:t>项目地理位置</w:t>
            </w:r>
          </w:p>
          <w:p w14:paraId="7A47E19B">
            <w:pPr>
              <w:pStyle w:val="22"/>
              <w:spacing w:before="38"/>
              <w:ind w:left="429"/>
              <w:rPr>
                <w:rFonts w:ascii="Times New Roman" w:eastAsia="Times New Roman"/>
                <w:sz w:val="24"/>
                <w:highlight w:val="none"/>
              </w:rPr>
            </w:pPr>
            <w:r>
              <w:rPr>
                <w:rFonts w:ascii="Times New Roman" w:eastAsia="Times New Roman"/>
                <w:sz w:val="24"/>
                <w:highlight w:val="none"/>
              </w:rPr>
              <w:t>(</w:t>
            </w:r>
            <w:r>
              <w:rPr>
                <w:sz w:val="24"/>
                <w:highlight w:val="none"/>
              </w:rPr>
              <w:t>附地理位置图</w:t>
            </w:r>
            <w:r>
              <w:rPr>
                <w:rFonts w:ascii="Times New Roman" w:eastAsia="Times New Roman"/>
                <w:sz w:val="24"/>
                <w:highlight w:val="none"/>
              </w:rPr>
              <w:t>)</w:t>
            </w:r>
          </w:p>
        </w:tc>
        <w:tc>
          <w:tcPr>
            <w:tcW w:w="6161" w:type="dxa"/>
            <w:tcBorders>
              <w:left w:val="single" w:color="000000" w:sz="4" w:space="0"/>
            </w:tcBorders>
          </w:tcPr>
          <w:p w14:paraId="35AD182B">
            <w:pPr>
              <w:pStyle w:val="22"/>
              <w:spacing w:before="38" w:line="242" w:lineRule="auto"/>
              <w:ind w:left="217" w:right="51"/>
              <w:rPr>
                <w:sz w:val="24"/>
                <w:highlight w:val="none"/>
              </w:rPr>
            </w:pPr>
            <w:r>
              <w:rPr>
                <w:sz w:val="24"/>
                <w:highlight w:val="none"/>
              </w:rPr>
              <w:t>位于河北省张家口市尚义县大营盘乡太阳能示范基地， 厂中心坐标为东经：</w:t>
            </w:r>
            <w:r>
              <w:rPr>
                <w:rFonts w:ascii="Times New Roman" w:hAnsi="Times New Roman" w:eastAsia="Times New Roman"/>
                <w:sz w:val="24"/>
                <w:highlight w:val="none"/>
              </w:rPr>
              <w:t>113°57'15.66"</w:t>
            </w:r>
            <w:r>
              <w:rPr>
                <w:sz w:val="24"/>
                <w:highlight w:val="none"/>
              </w:rPr>
              <w:t>，北纬：</w:t>
            </w:r>
            <w:r>
              <w:rPr>
                <w:rFonts w:ascii="Times New Roman" w:hAnsi="Times New Roman" w:eastAsia="Times New Roman"/>
                <w:sz w:val="24"/>
                <w:highlight w:val="none"/>
              </w:rPr>
              <w:t>41°27'3.06"</w:t>
            </w:r>
            <w:r>
              <w:rPr>
                <w:sz w:val="24"/>
                <w:highlight w:val="none"/>
              </w:rPr>
              <w:t>，</w:t>
            </w:r>
          </w:p>
          <w:p w14:paraId="36E334D5">
            <w:pPr>
              <w:pStyle w:val="22"/>
              <w:spacing w:line="289" w:lineRule="exact"/>
              <w:ind w:left="217"/>
              <w:rPr>
                <w:sz w:val="24"/>
                <w:highlight w:val="none"/>
              </w:rPr>
            </w:pPr>
            <w:r>
              <w:rPr>
                <w:sz w:val="24"/>
                <w:highlight w:val="none"/>
              </w:rPr>
              <w:t>项目四周均为空地，项目地理位置见附图</w:t>
            </w:r>
            <w:r>
              <w:rPr>
                <w:rFonts w:ascii="Times New Roman" w:eastAsia="Times New Roman"/>
                <w:sz w:val="24"/>
                <w:highlight w:val="none"/>
              </w:rPr>
              <w:t>1</w:t>
            </w:r>
            <w:r>
              <w:rPr>
                <w:sz w:val="24"/>
                <w:highlight w:val="none"/>
              </w:rPr>
              <w:t>。</w:t>
            </w:r>
          </w:p>
        </w:tc>
      </w:tr>
      <w:tr w14:paraId="61D4A6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9" w:hRule="atLeast"/>
        </w:trPr>
        <w:tc>
          <w:tcPr>
            <w:tcW w:w="8521" w:type="dxa"/>
            <w:gridSpan w:val="2"/>
          </w:tcPr>
          <w:p w14:paraId="202F2051">
            <w:pPr>
              <w:bidi w:val="0"/>
              <w:rPr>
                <w:highlight w:val="none"/>
              </w:rPr>
            </w:pPr>
            <w:r>
              <w:rPr>
                <w:highlight w:val="none"/>
              </w:rPr>
              <w:drawing>
                <wp:inline distT="0" distB="0" distL="114300" distR="114300">
                  <wp:extent cx="5397500" cy="3879850"/>
                  <wp:effectExtent l="0" t="0" r="1270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397500" cy="3879850"/>
                          </a:xfrm>
                          <a:prstGeom prst="rect">
                            <a:avLst/>
                          </a:prstGeom>
                          <a:noFill/>
                          <a:ln>
                            <a:noFill/>
                          </a:ln>
                        </pic:spPr>
                      </pic:pic>
                    </a:graphicData>
                  </a:graphic>
                </wp:inline>
              </w:drawing>
            </w:r>
          </w:p>
          <w:p w14:paraId="42605CD7">
            <w:pPr>
              <w:bidi w:val="0"/>
              <w:jc w:val="center"/>
              <w:rPr>
                <w:rFonts w:hint="default" w:eastAsia="宋体"/>
                <w:highlight w:val="none"/>
                <w:lang w:val="en-US" w:eastAsia="zh-CN"/>
              </w:rPr>
            </w:pPr>
            <w:r>
              <w:rPr>
                <w:rFonts w:hint="eastAsia"/>
                <w:highlight w:val="none"/>
                <w:lang w:val="en-US" w:eastAsia="zh-CN"/>
              </w:rPr>
              <w:t>图2-1 项目地理位置图</w:t>
            </w:r>
          </w:p>
        </w:tc>
      </w:tr>
      <w:tr w14:paraId="4C0FA1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20" w:hRule="atLeast"/>
        </w:trPr>
        <w:tc>
          <w:tcPr>
            <w:tcW w:w="8521" w:type="dxa"/>
            <w:gridSpan w:val="2"/>
            <w:tcBorders>
              <w:bottom w:val="single" w:color="000000" w:sz="4" w:space="0"/>
            </w:tcBorders>
          </w:tcPr>
          <w:p w14:paraId="7BF38CD2">
            <w:pPr>
              <w:pStyle w:val="22"/>
              <w:spacing w:before="146"/>
              <w:ind w:left="107"/>
              <w:rPr>
                <w:b/>
                <w:sz w:val="24"/>
                <w:highlight w:val="none"/>
              </w:rPr>
            </w:pPr>
            <w:r>
              <w:rPr>
                <w:b/>
                <w:sz w:val="24"/>
                <w:highlight w:val="none"/>
              </w:rPr>
              <w:t>主要工程内容及规模：</w:t>
            </w:r>
          </w:p>
          <w:p w14:paraId="00CC1788">
            <w:pPr>
              <w:pStyle w:val="22"/>
              <w:spacing w:before="172"/>
              <w:ind w:left="587"/>
              <w:rPr>
                <w:sz w:val="24"/>
                <w:highlight w:val="none"/>
              </w:rPr>
            </w:pPr>
            <w:r>
              <w:rPr>
                <w:rFonts w:ascii="Times New Roman" w:eastAsia="Times New Roman"/>
                <w:sz w:val="24"/>
                <w:highlight w:val="none"/>
              </w:rPr>
              <w:t>1</w:t>
            </w:r>
            <w:r>
              <w:rPr>
                <w:sz w:val="24"/>
                <w:highlight w:val="none"/>
              </w:rPr>
              <w:t>、建设内容及规模</w:t>
            </w:r>
          </w:p>
          <w:p w14:paraId="2FBD663F">
            <w:pPr>
              <w:pStyle w:val="22"/>
              <w:spacing w:before="173" w:line="374" w:lineRule="auto"/>
              <w:ind w:left="107" w:right="87" w:firstLine="480"/>
              <w:jc w:val="both"/>
              <w:rPr>
                <w:sz w:val="24"/>
                <w:highlight w:val="none"/>
              </w:rPr>
            </w:pPr>
            <w:r>
              <w:rPr>
                <w:spacing w:val="-11"/>
                <w:sz w:val="24"/>
                <w:highlight w:val="none"/>
              </w:rPr>
              <w:t>环评中建设内容：</w:t>
            </w:r>
            <w:r>
              <w:rPr>
                <w:rFonts w:hint="eastAsia"/>
                <w:spacing w:val="-11"/>
                <w:sz w:val="24"/>
                <w:highlight w:val="none"/>
                <w:lang w:eastAsia="zh-CN"/>
              </w:rPr>
              <w:t>台山市鑫昊新能源有限公司</w:t>
            </w:r>
            <w:r>
              <w:rPr>
                <w:spacing w:val="-11"/>
                <w:sz w:val="24"/>
                <w:highlight w:val="none"/>
              </w:rPr>
              <w:t>在</w:t>
            </w:r>
            <w:r>
              <w:rPr>
                <w:rFonts w:hint="eastAsia"/>
                <w:spacing w:val="-11"/>
                <w:sz w:val="24"/>
                <w:highlight w:val="none"/>
              </w:rPr>
              <w:t>江门市台山市汶村镇</w:t>
            </w:r>
            <w:r>
              <w:rPr>
                <w:spacing w:val="-1"/>
                <w:sz w:val="24"/>
                <w:highlight w:val="none"/>
              </w:rPr>
              <w:t>建设</w:t>
            </w:r>
            <w:r>
              <w:rPr>
                <w:rFonts w:hint="eastAsia" w:ascii="Times New Roman"/>
                <w:sz w:val="24"/>
                <w:highlight w:val="none"/>
                <w:lang w:val="en-US" w:eastAsia="zh-CN"/>
              </w:rPr>
              <w:t>150</w:t>
            </w:r>
            <w:r>
              <w:rPr>
                <w:rFonts w:ascii="Times New Roman" w:eastAsia="Times New Roman"/>
                <w:sz w:val="24"/>
                <w:highlight w:val="none"/>
              </w:rPr>
              <w:t>MWp</w:t>
            </w:r>
            <w:r>
              <w:rPr>
                <w:sz w:val="24"/>
                <w:highlight w:val="none"/>
              </w:rPr>
              <w:t>光伏发电场区</w:t>
            </w:r>
            <w:r>
              <w:rPr>
                <w:rFonts w:hint="eastAsia" w:ascii="Times New Roman"/>
                <w:sz w:val="24"/>
                <w:highlight w:val="none"/>
                <w:lang w:eastAsia="zh-CN"/>
              </w:rPr>
              <w:t>，</w:t>
            </w:r>
            <w:r>
              <w:rPr>
                <w:spacing w:val="-12"/>
                <w:sz w:val="24"/>
                <w:highlight w:val="none"/>
              </w:rPr>
              <w:t>光伏</w:t>
            </w:r>
            <w:r>
              <w:rPr>
                <w:rFonts w:hint="eastAsia"/>
                <w:spacing w:val="-12"/>
                <w:sz w:val="24"/>
                <w:highlight w:val="none"/>
                <w:lang w:val="en-US" w:eastAsia="zh-CN"/>
              </w:rPr>
              <w:t>厂区</w:t>
            </w:r>
            <w:r>
              <w:rPr>
                <w:spacing w:val="-12"/>
                <w:sz w:val="24"/>
                <w:highlight w:val="none"/>
              </w:rPr>
              <w:t>内</w:t>
            </w:r>
            <w:r>
              <w:rPr>
                <w:rFonts w:hint="eastAsia"/>
                <w:spacing w:val="-12"/>
                <w:sz w:val="24"/>
                <w:highlight w:val="none"/>
                <w:lang w:val="en-US" w:eastAsia="zh-CN"/>
              </w:rPr>
              <w:t>不设</w:t>
            </w:r>
            <w:r>
              <w:rPr>
                <w:spacing w:val="-12"/>
                <w:sz w:val="24"/>
                <w:highlight w:val="none"/>
              </w:rPr>
              <w:t>办公场所。</w:t>
            </w:r>
            <w:r>
              <w:rPr>
                <w:sz w:val="24"/>
                <w:highlight w:val="none"/>
              </w:rPr>
              <w:t>项目成后，年均发电量</w:t>
            </w:r>
            <w:r>
              <w:rPr>
                <w:rFonts w:hint="eastAsia"/>
                <w:sz w:val="24"/>
                <w:highlight w:val="none"/>
              </w:rPr>
              <w:t>17351.58</w:t>
            </w:r>
            <w:r>
              <w:rPr>
                <w:sz w:val="24"/>
                <w:highlight w:val="none"/>
              </w:rPr>
              <w:t>万</w:t>
            </w:r>
            <w:r>
              <w:rPr>
                <w:rFonts w:ascii="Times New Roman" w:eastAsia="Times New Roman"/>
                <w:sz w:val="24"/>
                <w:highlight w:val="none"/>
              </w:rPr>
              <w:t>kWh</w:t>
            </w:r>
            <w:r>
              <w:rPr>
                <w:sz w:val="24"/>
                <w:highlight w:val="none"/>
              </w:rPr>
              <w:t>。</w:t>
            </w:r>
          </w:p>
          <w:p w14:paraId="69BE69F2">
            <w:pPr>
              <w:pStyle w:val="22"/>
              <w:spacing w:before="173" w:line="374" w:lineRule="auto"/>
              <w:ind w:left="107" w:right="87" w:firstLine="480"/>
              <w:jc w:val="both"/>
              <w:rPr>
                <w:sz w:val="24"/>
                <w:highlight w:val="none"/>
              </w:rPr>
            </w:pPr>
            <w:r>
              <w:rPr>
                <w:spacing w:val="-11"/>
                <w:sz w:val="24"/>
                <w:highlight w:val="none"/>
              </w:rPr>
              <w:t>实际建设内容：</w:t>
            </w:r>
            <w:r>
              <w:rPr>
                <w:rFonts w:hint="eastAsia"/>
                <w:spacing w:val="-11"/>
                <w:sz w:val="24"/>
                <w:highlight w:val="none"/>
                <w:lang w:eastAsia="zh-CN"/>
              </w:rPr>
              <w:t>台山市鑫昊新能源有限公司</w:t>
            </w:r>
            <w:r>
              <w:rPr>
                <w:spacing w:val="-11"/>
                <w:sz w:val="24"/>
                <w:highlight w:val="none"/>
              </w:rPr>
              <w:t>在</w:t>
            </w:r>
            <w:r>
              <w:rPr>
                <w:rFonts w:hint="eastAsia"/>
                <w:spacing w:val="-11"/>
                <w:sz w:val="24"/>
                <w:highlight w:val="none"/>
              </w:rPr>
              <w:t>江门市台山市汶村镇</w:t>
            </w:r>
            <w:r>
              <w:rPr>
                <w:spacing w:val="-1"/>
                <w:sz w:val="24"/>
                <w:highlight w:val="none"/>
              </w:rPr>
              <w:t>建设</w:t>
            </w:r>
            <w:r>
              <w:rPr>
                <w:rFonts w:hint="eastAsia" w:ascii="Times New Roman"/>
                <w:sz w:val="24"/>
                <w:highlight w:val="none"/>
                <w:lang w:val="en-US" w:eastAsia="zh-CN"/>
              </w:rPr>
              <w:t>120</w:t>
            </w:r>
            <w:r>
              <w:rPr>
                <w:rFonts w:ascii="Times New Roman" w:eastAsia="Times New Roman"/>
                <w:sz w:val="24"/>
                <w:highlight w:val="none"/>
              </w:rPr>
              <w:t>MWp</w:t>
            </w:r>
            <w:r>
              <w:rPr>
                <w:sz w:val="24"/>
                <w:highlight w:val="none"/>
              </w:rPr>
              <w:t>光伏发电场区</w:t>
            </w:r>
            <w:r>
              <w:rPr>
                <w:rFonts w:hint="eastAsia" w:ascii="Times New Roman"/>
                <w:sz w:val="24"/>
                <w:highlight w:val="none"/>
                <w:lang w:eastAsia="zh-CN"/>
              </w:rPr>
              <w:t>，</w:t>
            </w:r>
            <w:r>
              <w:rPr>
                <w:spacing w:val="-12"/>
                <w:sz w:val="24"/>
                <w:highlight w:val="none"/>
              </w:rPr>
              <w:t>光伏</w:t>
            </w:r>
            <w:r>
              <w:rPr>
                <w:rFonts w:hint="eastAsia"/>
                <w:spacing w:val="-12"/>
                <w:sz w:val="24"/>
                <w:highlight w:val="none"/>
                <w:lang w:val="en-US" w:eastAsia="zh-CN"/>
              </w:rPr>
              <w:t>厂区</w:t>
            </w:r>
            <w:r>
              <w:rPr>
                <w:spacing w:val="-12"/>
                <w:sz w:val="24"/>
                <w:highlight w:val="none"/>
              </w:rPr>
              <w:t>内</w:t>
            </w:r>
            <w:r>
              <w:rPr>
                <w:rFonts w:hint="eastAsia"/>
                <w:spacing w:val="-12"/>
                <w:sz w:val="24"/>
                <w:highlight w:val="none"/>
                <w:lang w:val="en-US" w:eastAsia="zh-CN"/>
              </w:rPr>
              <w:t>不设</w:t>
            </w:r>
            <w:r>
              <w:rPr>
                <w:spacing w:val="-12"/>
                <w:sz w:val="24"/>
                <w:highlight w:val="none"/>
              </w:rPr>
              <w:t>办公场所。</w:t>
            </w:r>
            <w:r>
              <w:rPr>
                <w:sz w:val="24"/>
                <w:highlight w:val="none"/>
              </w:rPr>
              <w:t>项目成后，年均发电量</w:t>
            </w:r>
            <w:r>
              <w:rPr>
                <w:rFonts w:hint="eastAsia" w:ascii="Times New Roman"/>
                <w:sz w:val="24"/>
                <w:highlight w:val="none"/>
                <w:lang w:val="en-US" w:eastAsia="zh-CN"/>
              </w:rPr>
              <w:t>13881.26</w:t>
            </w:r>
            <w:r>
              <w:rPr>
                <w:sz w:val="24"/>
                <w:highlight w:val="none"/>
              </w:rPr>
              <w:t>万</w:t>
            </w:r>
            <w:r>
              <w:rPr>
                <w:rFonts w:ascii="Times New Roman" w:eastAsia="Times New Roman"/>
                <w:sz w:val="24"/>
                <w:highlight w:val="none"/>
              </w:rPr>
              <w:t>kWh</w:t>
            </w:r>
            <w:r>
              <w:rPr>
                <w:sz w:val="24"/>
                <w:highlight w:val="none"/>
              </w:rPr>
              <w:t>。</w:t>
            </w:r>
          </w:p>
          <w:p w14:paraId="108B65C1">
            <w:pPr>
              <w:pStyle w:val="22"/>
              <w:spacing w:before="1"/>
              <w:ind w:left="587"/>
              <w:rPr>
                <w:sz w:val="24"/>
                <w:highlight w:val="none"/>
              </w:rPr>
            </w:pPr>
            <w:r>
              <w:rPr>
                <w:sz w:val="24"/>
                <w:highlight w:val="none"/>
              </w:rPr>
              <w:t>项目建设工程对照一览表见表</w:t>
            </w:r>
            <w:r>
              <w:rPr>
                <w:rFonts w:ascii="Times New Roman" w:eastAsia="Times New Roman"/>
                <w:sz w:val="24"/>
                <w:highlight w:val="none"/>
              </w:rPr>
              <w:t>4-1</w:t>
            </w:r>
            <w:r>
              <w:rPr>
                <w:sz w:val="24"/>
                <w:highlight w:val="none"/>
              </w:rPr>
              <w:t>。</w:t>
            </w:r>
          </w:p>
          <w:p w14:paraId="4FF88CA9">
            <w:pPr>
              <w:pStyle w:val="22"/>
              <w:tabs>
                <w:tab w:val="left" w:pos="1309"/>
              </w:tabs>
              <w:spacing w:before="172"/>
              <w:ind w:left="510"/>
              <w:jc w:val="center"/>
              <w:rPr>
                <w:b/>
                <w:sz w:val="24"/>
                <w:highlight w:val="none"/>
              </w:rPr>
            </w:pPr>
            <w:r>
              <w:rPr>
                <w:b/>
                <w:sz w:val="24"/>
                <w:highlight w:val="none"/>
              </w:rPr>
              <w:t>表</w:t>
            </w:r>
            <w:r>
              <w:rPr>
                <w:rFonts w:ascii="Times New Roman" w:eastAsia="Times New Roman"/>
                <w:b/>
                <w:sz w:val="24"/>
                <w:highlight w:val="none"/>
              </w:rPr>
              <w:t>4-1</w:t>
            </w:r>
            <w:r>
              <w:rPr>
                <w:rFonts w:ascii="Times New Roman" w:eastAsia="Times New Roman"/>
                <w:b/>
                <w:sz w:val="24"/>
                <w:highlight w:val="none"/>
              </w:rPr>
              <w:tab/>
            </w:r>
            <w:r>
              <w:rPr>
                <w:b/>
                <w:sz w:val="24"/>
                <w:highlight w:val="none"/>
              </w:rPr>
              <w:t>项目建设工程对照一览表</w:t>
            </w:r>
          </w:p>
          <w:tbl>
            <w:tblPr>
              <w:tblStyle w:val="1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435"/>
              <w:gridCol w:w="748"/>
              <w:gridCol w:w="665"/>
              <w:gridCol w:w="2087"/>
              <w:gridCol w:w="826"/>
              <w:gridCol w:w="2365"/>
              <w:gridCol w:w="684"/>
            </w:tblGrid>
            <w:tr w14:paraId="5F03ED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restart"/>
                  <w:tcBorders>
                    <w:top w:val="single" w:color="auto" w:sz="4" w:space="0"/>
                    <w:left w:val="nil"/>
                    <w:right w:val="single" w:color="auto" w:sz="4" w:space="0"/>
                  </w:tcBorders>
                  <w:noWrap w:val="0"/>
                  <w:vAlign w:val="center"/>
                </w:tcPr>
                <w:p w14:paraId="7EB4F0D3">
                  <w:pPr>
                    <w:adjustRightInd w:val="0"/>
                    <w:snapToGrid w:val="0"/>
                    <w:jc w:val="center"/>
                    <w:rPr>
                      <w:b/>
                      <w:sz w:val="21"/>
                      <w:szCs w:val="21"/>
                      <w:highlight w:val="none"/>
                    </w:rPr>
                  </w:pPr>
                  <w:r>
                    <w:rPr>
                      <w:rFonts w:hAnsi="宋体"/>
                      <w:b/>
                      <w:sz w:val="21"/>
                      <w:szCs w:val="21"/>
                      <w:highlight w:val="none"/>
                    </w:rPr>
                    <w:t>内容</w:t>
                  </w:r>
                </w:p>
              </w:tc>
              <w:tc>
                <w:tcPr>
                  <w:tcW w:w="683" w:type="pct"/>
                  <w:gridSpan w:val="2"/>
                  <w:vMerge w:val="restart"/>
                  <w:tcBorders>
                    <w:top w:val="single" w:color="auto" w:sz="4" w:space="0"/>
                    <w:left w:val="single" w:color="auto" w:sz="4" w:space="0"/>
                    <w:right w:val="single" w:color="auto" w:sz="4" w:space="0"/>
                  </w:tcBorders>
                  <w:noWrap w:val="0"/>
                  <w:vAlign w:val="center"/>
                </w:tcPr>
                <w:p w14:paraId="08BA2ABC">
                  <w:pPr>
                    <w:adjustRightInd w:val="0"/>
                    <w:snapToGrid w:val="0"/>
                    <w:jc w:val="center"/>
                    <w:rPr>
                      <w:b/>
                      <w:sz w:val="21"/>
                      <w:szCs w:val="21"/>
                      <w:highlight w:val="none"/>
                    </w:rPr>
                  </w:pPr>
                  <w:r>
                    <w:rPr>
                      <w:rFonts w:hAnsi="宋体"/>
                      <w:b/>
                      <w:sz w:val="21"/>
                      <w:szCs w:val="21"/>
                      <w:highlight w:val="none"/>
                    </w:rPr>
                    <w:t>工程名称</w:t>
                  </w:r>
                </w:p>
              </w:tc>
              <w:tc>
                <w:tcPr>
                  <w:tcW w:w="1589" w:type="pct"/>
                  <w:gridSpan w:val="2"/>
                  <w:tcBorders>
                    <w:top w:val="single" w:color="auto" w:sz="4" w:space="0"/>
                    <w:left w:val="single" w:color="auto" w:sz="4" w:space="0"/>
                    <w:bottom w:val="single" w:color="auto" w:sz="4" w:space="0"/>
                    <w:right w:val="nil"/>
                  </w:tcBorders>
                  <w:noWrap w:val="0"/>
                  <w:vAlign w:val="center"/>
                </w:tcPr>
                <w:p w14:paraId="546088FD">
                  <w:pPr>
                    <w:adjustRightInd w:val="0"/>
                    <w:snapToGrid w:val="0"/>
                    <w:jc w:val="center"/>
                    <w:rPr>
                      <w:rFonts w:hint="default" w:hAnsi="宋体" w:eastAsia="宋体"/>
                      <w:b/>
                      <w:sz w:val="21"/>
                      <w:szCs w:val="21"/>
                      <w:highlight w:val="none"/>
                      <w:lang w:val="en-US" w:eastAsia="zh-CN"/>
                    </w:rPr>
                  </w:pPr>
                  <w:r>
                    <w:rPr>
                      <w:rFonts w:hint="eastAsia" w:hAnsi="宋体"/>
                      <w:b/>
                      <w:sz w:val="21"/>
                      <w:szCs w:val="21"/>
                      <w:highlight w:val="none"/>
                      <w:lang w:val="en-US" w:eastAsia="zh-CN"/>
                    </w:rPr>
                    <w:t>环评审批</w:t>
                  </w:r>
                </w:p>
              </w:tc>
              <w:tc>
                <w:tcPr>
                  <w:tcW w:w="1843" w:type="pct"/>
                  <w:gridSpan w:val="2"/>
                  <w:tcBorders>
                    <w:top w:val="single" w:color="auto" w:sz="4" w:space="0"/>
                    <w:left w:val="single" w:color="auto" w:sz="4" w:space="0"/>
                    <w:bottom w:val="single" w:color="auto" w:sz="4" w:space="0"/>
                    <w:right w:val="nil"/>
                  </w:tcBorders>
                  <w:noWrap w:val="0"/>
                  <w:vAlign w:val="center"/>
                </w:tcPr>
                <w:p w14:paraId="323A3C6F">
                  <w:pPr>
                    <w:adjustRightInd w:val="0"/>
                    <w:snapToGrid w:val="0"/>
                    <w:jc w:val="center"/>
                    <w:rPr>
                      <w:rFonts w:hint="default" w:hAnsi="宋体" w:eastAsia="宋体"/>
                      <w:b/>
                      <w:sz w:val="21"/>
                      <w:szCs w:val="21"/>
                      <w:highlight w:val="none"/>
                      <w:lang w:val="en-US" w:eastAsia="zh-CN"/>
                    </w:rPr>
                  </w:pPr>
                  <w:r>
                    <w:rPr>
                      <w:rFonts w:hint="eastAsia" w:hAnsi="宋体"/>
                      <w:b/>
                      <w:sz w:val="21"/>
                      <w:szCs w:val="21"/>
                      <w:highlight w:val="none"/>
                      <w:lang w:val="en-US" w:eastAsia="zh-CN"/>
                    </w:rPr>
                    <w:t>实际建设</w:t>
                  </w:r>
                </w:p>
              </w:tc>
              <w:tc>
                <w:tcPr>
                  <w:tcW w:w="395" w:type="pct"/>
                  <w:vMerge w:val="restart"/>
                  <w:tcBorders>
                    <w:top w:val="single" w:color="auto" w:sz="4" w:space="0"/>
                    <w:left w:val="single" w:color="auto" w:sz="4" w:space="0"/>
                    <w:right w:val="nil"/>
                  </w:tcBorders>
                  <w:noWrap w:val="0"/>
                  <w:vAlign w:val="center"/>
                </w:tcPr>
                <w:p w14:paraId="0271D1CF">
                  <w:pPr>
                    <w:adjustRightInd w:val="0"/>
                    <w:snapToGrid w:val="0"/>
                    <w:jc w:val="center"/>
                    <w:rPr>
                      <w:rFonts w:hint="default" w:hAnsi="宋体" w:eastAsia="宋体"/>
                      <w:b/>
                      <w:sz w:val="21"/>
                      <w:szCs w:val="21"/>
                      <w:highlight w:val="none"/>
                      <w:lang w:val="en-US" w:eastAsia="zh-CN"/>
                    </w:rPr>
                  </w:pPr>
                  <w:r>
                    <w:rPr>
                      <w:rFonts w:hint="eastAsia" w:hAnsi="宋体"/>
                      <w:b/>
                      <w:sz w:val="21"/>
                      <w:szCs w:val="21"/>
                      <w:highlight w:val="none"/>
                      <w:lang w:val="en-US" w:eastAsia="zh-CN"/>
                    </w:rPr>
                    <w:t>是否与环评一致</w:t>
                  </w:r>
                </w:p>
              </w:tc>
            </w:tr>
            <w:tr w14:paraId="123AAE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continue"/>
                  <w:tcBorders>
                    <w:left w:val="nil"/>
                    <w:bottom w:val="single" w:color="auto" w:sz="4" w:space="0"/>
                    <w:right w:val="single" w:color="auto" w:sz="4" w:space="0"/>
                  </w:tcBorders>
                  <w:noWrap w:val="0"/>
                  <w:vAlign w:val="center"/>
                </w:tcPr>
                <w:p w14:paraId="06FD7362">
                  <w:pPr>
                    <w:adjustRightInd w:val="0"/>
                    <w:snapToGrid w:val="0"/>
                    <w:jc w:val="center"/>
                    <w:rPr>
                      <w:b/>
                      <w:sz w:val="21"/>
                      <w:szCs w:val="21"/>
                      <w:highlight w:val="none"/>
                    </w:rPr>
                  </w:pPr>
                </w:p>
              </w:tc>
              <w:tc>
                <w:tcPr>
                  <w:tcW w:w="683" w:type="pct"/>
                  <w:gridSpan w:val="2"/>
                  <w:vMerge w:val="continue"/>
                  <w:tcBorders>
                    <w:left w:val="single" w:color="auto" w:sz="4" w:space="0"/>
                    <w:bottom w:val="single" w:color="auto" w:sz="4" w:space="0"/>
                    <w:right w:val="single" w:color="auto" w:sz="4" w:space="0"/>
                  </w:tcBorders>
                  <w:noWrap w:val="0"/>
                  <w:vAlign w:val="center"/>
                </w:tcPr>
                <w:p w14:paraId="21DD5808">
                  <w:pPr>
                    <w:adjustRightInd w:val="0"/>
                    <w:snapToGrid w:val="0"/>
                    <w:jc w:val="center"/>
                    <w:rPr>
                      <w:b/>
                      <w:sz w:val="21"/>
                      <w:szCs w:val="21"/>
                      <w:highlight w:val="none"/>
                    </w:rPr>
                  </w:pPr>
                </w:p>
              </w:tc>
              <w:tc>
                <w:tcPr>
                  <w:tcW w:w="384" w:type="pct"/>
                  <w:tcBorders>
                    <w:top w:val="single" w:color="auto" w:sz="4" w:space="0"/>
                    <w:left w:val="single" w:color="auto" w:sz="4" w:space="0"/>
                    <w:bottom w:val="single" w:color="auto" w:sz="4" w:space="0"/>
                    <w:right w:val="single" w:color="auto" w:sz="4" w:space="0"/>
                  </w:tcBorders>
                  <w:noWrap w:val="0"/>
                  <w:vAlign w:val="center"/>
                </w:tcPr>
                <w:p w14:paraId="528BA328">
                  <w:pPr>
                    <w:adjustRightInd w:val="0"/>
                    <w:snapToGrid w:val="0"/>
                    <w:jc w:val="center"/>
                    <w:rPr>
                      <w:b/>
                      <w:sz w:val="21"/>
                      <w:szCs w:val="21"/>
                      <w:highlight w:val="none"/>
                    </w:rPr>
                  </w:pPr>
                  <w:r>
                    <w:rPr>
                      <w:rFonts w:hAnsi="宋体"/>
                      <w:b/>
                      <w:sz w:val="21"/>
                      <w:szCs w:val="21"/>
                      <w:highlight w:val="none"/>
                    </w:rPr>
                    <w:t>工程内容</w:t>
                  </w:r>
                </w:p>
              </w:tc>
              <w:tc>
                <w:tcPr>
                  <w:tcW w:w="1205" w:type="pct"/>
                  <w:tcBorders>
                    <w:top w:val="single" w:color="auto" w:sz="4" w:space="0"/>
                    <w:left w:val="single" w:color="auto" w:sz="4" w:space="0"/>
                    <w:bottom w:val="single" w:color="auto" w:sz="4" w:space="0"/>
                    <w:right w:val="nil"/>
                  </w:tcBorders>
                  <w:noWrap w:val="0"/>
                  <w:vAlign w:val="center"/>
                </w:tcPr>
                <w:p w14:paraId="2509B65A">
                  <w:pPr>
                    <w:adjustRightInd w:val="0"/>
                    <w:snapToGrid w:val="0"/>
                    <w:jc w:val="center"/>
                    <w:rPr>
                      <w:b/>
                      <w:sz w:val="21"/>
                      <w:szCs w:val="21"/>
                      <w:highlight w:val="none"/>
                    </w:rPr>
                  </w:pPr>
                  <w:r>
                    <w:rPr>
                      <w:rFonts w:hAnsi="宋体"/>
                      <w:b/>
                      <w:sz w:val="21"/>
                      <w:szCs w:val="21"/>
                      <w:highlight w:val="none"/>
                    </w:rPr>
                    <w:t>工程规模</w:t>
                  </w:r>
                </w:p>
              </w:tc>
              <w:tc>
                <w:tcPr>
                  <w:tcW w:w="477" w:type="pct"/>
                  <w:tcBorders>
                    <w:top w:val="single" w:color="auto" w:sz="4" w:space="0"/>
                    <w:left w:val="single" w:color="auto" w:sz="4" w:space="0"/>
                    <w:bottom w:val="single" w:color="auto" w:sz="4" w:space="0"/>
                    <w:right w:val="nil"/>
                  </w:tcBorders>
                  <w:noWrap w:val="0"/>
                  <w:vAlign w:val="center"/>
                </w:tcPr>
                <w:p w14:paraId="211BB9A8">
                  <w:pPr>
                    <w:adjustRightInd w:val="0"/>
                    <w:snapToGrid w:val="0"/>
                    <w:ind w:left="0" w:leftChars="0" w:right="0" w:rightChars="0"/>
                    <w:jc w:val="center"/>
                    <w:rPr>
                      <w:rFonts w:hAnsi="宋体"/>
                      <w:b/>
                      <w:sz w:val="21"/>
                      <w:szCs w:val="21"/>
                      <w:highlight w:val="none"/>
                    </w:rPr>
                  </w:pPr>
                  <w:r>
                    <w:rPr>
                      <w:rFonts w:hAnsi="宋体"/>
                      <w:b/>
                      <w:sz w:val="21"/>
                      <w:szCs w:val="21"/>
                      <w:highlight w:val="none"/>
                    </w:rPr>
                    <w:t>工程内容</w:t>
                  </w:r>
                </w:p>
              </w:tc>
              <w:tc>
                <w:tcPr>
                  <w:tcW w:w="1366" w:type="pct"/>
                  <w:tcBorders>
                    <w:top w:val="single" w:color="auto" w:sz="4" w:space="0"/>
                    <w:left w:val="single" w:color="auto" w:sz="4" w:space="0"/>
                    <w:bottom w:val="single" w:color="auto" w:sz="4" w:space="0"/>
                    <w:right w:val="nil"/>
                  </w:tcBorders>
                  <w:noWrap w:val="0"/>
                  <w:vAlign w:val="center"/>
                </w:tcPr>
                <w:p w14:paraId="47776026">
                  <w:pPr>
                    <w:adjustRightInd w:val="0"/>
                    <w:snapToGrid w:val="0"/>
                    <w:ind w:left="0" w:leftChars="0" w:right="0" w:rightChars="0"/>
                    <w:jc w:val="center"/>
                    <w:rPr>
                      <w:rFonts w:hAnsi="宋体"/>
                      <w:b/>
                      <w:sz w:val="21"/>
                      <w:szCs w:val="21"/>
                      <w:highlight w:val="none"/>
                    </w:rPr>
                  </w:pPr>
                  <w:r>
                    <w:rPr>
                      <w:rFonts w:hAnsi="宋体"/>
                      <w:b/>
                      <w:sz w:val="21"/>
                      <w:szCs w:val="21"/>
                      <w:highlight w:val="none"/>
                    </w:rPr>
                    <w:t>工程规模</w:t>
                  </w:r>
                </w:p>
              </w:tc>
              <w:tc>
                <w:tcPr>
                  <w:tcW w:w="395" w:type="pct"/>
                  <w:vMerge w:val="continue"/>
                  <w:tcBorders>
                    <w:left w:val="single" w:color="auto" w:sz="4" w:space="0"/>
                    <w:bottom w:val="single" w:color="auto" w:sz="4" w:space="0"/>
                    <w:right w:val="nil"/>
                  </w:tcBorders>
                  <w:noWrap w:val="0"/>
                  <w:vAlign w:val="center"/>
                </w:tcPr>
                <w:p w14:paraId="0B959801">
                  <w:pPr>
                    <w:adjustRightInd w:val="0"/>
                    <w:snapToGrid w:val="0"/>
                    <w:jc w:val="center"/>
                    <w:rPr>
                      <w:rFonts w:hAnsi="宋体"/>
                      <w:b/>
                      <w:sz w:val="21"/>
                      <w:szCs w:val="21"/>
                      <w:highlight w:val="none"/>
                    </w:rPr>
                  </w:pPr>
                </w:p>
              </w:tc>
            </w:tr>
            <w:tr w14:paraId="47E267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tcBorders>
                    <w:top w:val="single" w:color="auto" w:sz="4" w:space="0"/>
                    <w:left w:val="nil"/>
                    <w:bottom w:val="single" w:color="auto" w:sz="4" w:space="0"/>
                    <w:right w:val="single" w:color="auto" w:sz="4" w:space="0"/>
                  </w:tcBorders>
                  <w:noWrap w:val="0"/>
                  <w:vAlign w:val="center"/>
                </w:tcPr>
                <w:p w14:paraId="03F5765D">
                  <w:pPr>
                    <w:adjustRightInd w:val="0"/>
                    <w:snapToGrid w:val="0"/>
                    <w:jc w:val="center"/>
                    <w:rPr>
                      <w:sz w:val="21"/>
                      <w:szCs w:val="21"/>
                      <w:highlight w:val="none"/>
                    </w:rPr>
                  </w:pPr>
                  <w:r>
                    <w:rPr>
                      <w:rFonts w:hAnsi="宋体"/>
                      <w:sz w:val="21"/>
                      <w:szCs w:val="21"/>
                      <w:highlight w:val="none"/>
                    </w:rPr>
                    <w:t>主体工程</w:t>
                  </w:r>
                </w:p>
              </w:tc>
              <w:tc>
                <w:tcPr>
                  <w:tcW w:w="683" w:type="pct"/>
                  <w:gridSpan w:val="2"/>
                  <w:tcBorders>
                    <w:top w:val="single" w:color="auto" w:sz="4" w:space="0"/>
                    <w:left w:val="single" w:color="auto" w:sz="4" w:space="0"/>
                    <w:bottom w:val="single" w:color="auto" w:sz="4" w:space="0"/>
                    <w:right w:val="single" w:color="auto" w:sz="4" w:space="0"/>
                  </w:tcBorders>
                  <w:noWrap w:val="0"/>
                  <w:vAlign w:val="center"/>
                </w:tcPr>
                <w:p w14:paraId="25568A0A">
                  <w:pPr>
                    <w:adjustRightInd w:val="0"/>
                    <w:snapToGrid w:val="0"/>
                    <w:jc w:val="center"/>
                    <w:rPr>
                      <w:sz w:val="21"/>
                      <w:szCs w:val="21"/>
                      <w:highlight w:val="none"/>
                    </w:rPr>
                  </w:pPr>
                  <w:r>
                    <w:rPr>
                      <w:rFonts w:hAnsi="宋体"/>
                      <w:sz w:val="21"/>
                      <w:szCs w:val="21"/>
                      <w:highlight w:val="none"/>
                    </w:rPr>
                    <w:t>光伏电站</w:t>
                  </w:r>
                </w:p>
              </w:tc>
              <w:tc>
                <w:tcPr>
                  <w:tcW w:w="384" w:type="pct"/>
                  <w:tcBorders>
                    <w:top w:val="single" w:color="auto" w:sz="4" w:space="0"/>
                    <w:left w:val="single" w:color="auto" w:sz="4" w:space="0"/>
                    <w:bottom w:val="single" w:color="auto" w:sz="4" w:space="0"/>
                    <w:right w:val="single" w:color="auto" w:sz="4" w:space="0"/>
                  </w:tcBorders>
                  <w:noWrap w:val="0"/>
                  <w:vAlign w:val="center"/>
                </w:tcPr>
                <w:p w14:paraId="0079D074">
                  <w:pPr>
                    <w:adjustRightInd w:val="0"/>
                    <w:snapToGrid w:val="0"/>
                    <w:jc w:val="center"/>
                    <w:rPr>
                      <w:sz w:val="21"/>
                      <w:szCs w:val="21"/>
                      <w:highlight w:val="none"/>
                    </w:rPr>
                  </w:pPr>
                  <w:r>
                    <w:rPr>
                      <w:rFonts w:hAnsi="宋体"/>
                      <w:sz w:val="21"/>
                      <w:szCs w:val="21"/>
                      <w:highlight w:val="none"/>
                    </w:rPr>
                    <w:t>光伏列阵</w:t>
                  </w:r>
                </w:p>
              </w:tc>
              <w:tc>
                <w:tcPr>
                  <w:tcW w:w="1205" w:type="pct"/>
                  <w:tcBorders>
                    <w:top w:val="single" w:color="auto" w:sz="4" w:space="0"/>
                    <w:left w:val="single" w:color="auto" w:sz="4" w:space="0"/>
                    <w:bottom w:val="single" w:color="auto" w:sz="4" w:space="0"/>
                    <w:right w:val="nil"/>
                  </w:tcBorders>
                  <w:noWrap w:val="0"/>
                  <w:vAlign w:val="center"/>
                </w:tcPr>
                <w:p w14:paraId="17120F3C">
                  <w:pPr>
                    <w:adjustRightInd w:val="0"/>
                    <w:snapToGrid w:val="0"/>
                    <w:jc w:val="center"/>
                    <w:rPr>
                      <w:sz w:val="21"/>
                      <w:szCs w:val="21"/>
                      <w:highlight w:val="none"/>
                    </w:rPr>
                  </w:pPr>
                  <w:r>
                    <w:rPr>
                      <w:sz w:val="21"/>
                      <w:szCs w:val="21"/>
                      <w:highlight w:val="none"/>
                    </w:rPr>
                    <w:t xml:space="preserve">535Wp </w:t>
                  </w:r>
                  <w:r>
                    <w:rPr>
                      <w:rFonts w:hAnsi="宋体"/>
                      <w:sz w:val="21"/>
                      <w:szCs w:val="21"/>
                      <w:highlight w:val="none"/>
                    </w:rPr>
                    <w:t>的单晶硅光伏组件，</w:t>
                  </w:r>
                  <w:r>
                    <w:rPr>
                      <w:sz w:val="21"/>
                      <w:szCs w:val="21"/>
                      <w:highlight w:val="none"/>
                    </w:rPr>
                    <w:t>281736</w:t>
                  </w:r>
                  <w:r>
                    <w:rPr>
                      <w:rFonts w:hAnsi="宋体"/>
                      <w:sz w:val="21"/>
                      <w:szCs w:val="21"/>
                      <w:highlight w:val="none"/>
                    </w:rPr>
                    <w:t>块，晶硅太阳能电池安装。光伏组件支架基础采用</w:t>
                  </w:r>
                  <w:r>
                    <w:rPr>
                      <w:rFonts w:hAnsi="宋体"/>
                      <w:bCs/>
                      <w:sz w:val="21"/>
                      <w:szCs w:val="21"/>
                      <w:highlight w:val="none"/>
                    </w:rPr>
                    <w:t>预制桩</w:t>
                  </w:r>
                  <w:r>
                    <w:rPr>
                      <w:rFonts w:hAnsi="宋体"/>
                      <w:sz w:val="21"/>
                      <w:szCs w:val="21"/>
                      <w:highlight w:val="none"/>
                    </w:rPr>
                    <w:t>。</w:t>
                  </w:r>
                </w:p>
              </w:tc>
              <w:tc>
                <w:tcPr>
                  <w:tcW w:w="477" w:type="pct"/>
                  <w:tcBorders>
                    <w:top w:val="single" w:color="auto" w:sz="4" w:space="0"/>
                    <w:left w:val="single" w:color="auto" w:sz="4" w:space="0"/>
                    <w:bottom w:val="single" w:color="auto" w:sz="4" w:space="0"/>
                    <w:right w:val="nil"/>
                  </w:tcBorders>
                  <w:noWrap w:val="0"/>
                  <w:vAlign w:val="center"/>
                </w:tcPr>
                <w:p w14:paraId="0B469950">
                  <w:pPr>
                    <w:adjustRightInd w:val="0"/>
                    <w:snapToGrid w:val="0"/>
                    <w:ind w:left="0" w:leftChars="0" w:right="0" w:rightChars="0"/>
                    <w:jc w:val="center"/>
                    <w:rPr>
                      <w:sz w:val="21"/>
                      <w:szCs w:val="21"/>
                      <w:highlight w:val="none"/>
                    </w:rPr>
                  </w:pPr>
                  <w:r>
                    <w:rPr>
                      <w:rFonts w:hAnsi="宋体"/>
                      <w:sz w:val="21"/>
                      <w:szCs w:val="21"/>
                      <w:highlight w:val="none"/>
                    </w:rPr>
                    <w:t>光伏列阵</w:t>
                  </w:r>
                </w:p>
              </w:tc>
              <w:tc>
                <w:tcPr>
                  <w:tcW w:w="1366" w:type="pct"/>
                  <w:tcBorders>
                    <w:top w:val="single" w:color="auto" w:sz="4" w:space="0"/>
                    <w:left w:val="single" w:color="auto" w:sz="4" w:space="0"/>
                    <w:bottom w:val="single" w:color="auto" w:sz="4" w:space="0"/>
                    <w:right w:val="nil"/>
                  </w:tcBorders>
                  <w:noWrap w:val="0"/>
                  <w:vAlign w:val="center"/>
                </w:tcPr>
                <w:p w14:paraId="410D1573">
                  <w:pPr>
                    <w:adjustRightInd w:val="0"/>
                    <w:snapToGrid w:val="0"/>
                    <w:ind w:left="0" w:leftChars="0" w:right="0" w:rightChars="0"/>
                    <w:jc w:val="center"/>
                    <w:rPr>
                      <w:sz w:val="21"/>
                      <w:szCs w:val="21"/>
                      <w:highlight w:val="none"/>
                    </w:rPr>
                  </w:pPr>
                  <w:r>
                    <w:rPr>
                      <w:sz w:val="21"/>
                      <w:szCs w:val="21"/>
                      <w:highlight w:val="none"/>
                    </w:rPr>
                    <w:t xml:space="preserve">535Wp </w:t>
                  </w:r>
                  <w:r>
                    <w:rPr>
                      <w:rFonts w:hAnsi="宋体"/>
                      <w:sz w:val="21"/>
                      <w:szCs w:val="21"/>
                      <w:highlight w:val="none"/>
                    </w:rPr>
                    <w:t>的单晶硅光伏组件，</w:t>
                  </w:r>
                  <w:r>
                    <w:rPr>
                      <w:sz w:val="21"/>
                      <w:szCs w:val="21"/>
                      <w:highlight w:val="none"/>
                    </w:rPr>
                    <w:t>281736</w:t>
                  </w:r>
                  <w:r>
                    <w:rPr>
                      <w:rFonts w:hAnsi="宋体"/>
                      <w:sz w:val="21"/>
                      <w:szCs w:val="21"/>
                      <w:highlight w:val="none"/>
                    </w:rPr>
                    <w:t>块，晶硅太阳能电池安装。光伏组件支架基础采用</w:t>
                  </w:r>
                  <w:r>
                    <w:rPr>
                      <w:rFonts w:hAnsi="宋体"/>
                      <w:bCs/>
                      <w:sz w:val="21"/>
                      <w:szCs w:val="21"/>
                      <w:highlight w:val="none"/>
                    </w:rPr>
                    <w:t>预制桩</w:t>
                  </w:r>
                  <w:r>
                    <w:rPr>
                      <w:rFonts w:hAnsi="宋体"/>
                      <w:sz w:val="21"/>
                      <w:szCs w:val="21"/>
                      <w:highlight w:val="none"/>
                    </w:rPr>
                    <w:t>。</w:t>
                  </w:r>
                </w:p>
              </w:tc>
              <w:tc>
                <w:tcPr>
                  <w:tcW w:w="395" w:type="pct"/>
                  <w:tcBorders>
                    <w:top w:val="single" w:color="auto" w:sz="4" w:space="0"/>
                    <w:left w:val="single" w:color="auto" w:sz="4" w:space="0"/>
                    <w:bottom w:val="single" w:color="auto" w:sz="4" w:space="0"/>
                    <w:right w:val="nil"/>
                  </w:tcBorders>
                  <w:noWrap w:val="0"/>
                  <w:vAlign w:val="center"/>
                </w:tcPr>
                <w:p w14:paraId="253557F3">
                  <w:pPr>
                    <w:adjustRightInd w:val="0"/>
                    <w:snapToGrid w:val="0"/>
                    <w:jc w:val="center"/>
                    <w:rPr>
                      <w:rFonts w:hint="eastAsia" w:eastAsia="宋体"/>
                      <w:sz w:val="21"/>
                      <w:szCs w:val="21"/>
                      <w:highlight w:val="none"/>
                      <w:lang w:val="en-US" w:eastAsia="zh-CN"/>
                    </w:rPr>
                  </w:pPr>
                  <w:r>
                    <w:rPr>
                      <w:rFonts w:hint="eastAsia"/>
                      <w:sz w:val="21"/>
                      <w:szCs w:val="21"/>
                      <w:highlight w:val="none"/>
                      <w:lang w:val="en-US" w:eastAsia="zh-CN"/>
                    </w:rPr>
                    <w:t>是</w:t>
                  </w:r>
                </w:p>
              </w:tc>
            </w:tr>
            <w:tr w14:paraId="5857FC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restart"/>
                  <w:tcBorders>
                    <w:top w:val="single" w:color="auto" w:sz="4" w:space="0"/>
                    <w:left w:val="nil"/>
                    <w:bottom w:val="single" w:color="auto" w:sz="4" w:space="0"/>
                    <w:right w:val="single" w:color="auto" w:sz="4" w:space="0"/>
                  </w:tcBorders>
                  <w:noWrap w:val="0"/>
                  <w:vAlign w:val="center"/>
                </w:tcPr>
                <w:p w14:paraId="3E6C661D">
                  <w:pPr>
                    <w:adjustRightInd w:val="0"/>
                    <w:snapToGrid w:val="0"/>
                    <w:jc w:val="center"/>
                    <w:rPr>
                      <w:sz w:val="21"/>
                      <w:szCs w:val="21"/>
                      <w:highlight w:val="none"/>
                    </w:rPr>
                  </w:pPr>
                  <w:r>
                    <w:rPr>
                      <w:rFonts w:hAnsi="宋体"/>
                      <w:sz w:val="21"/>
                      <w:szCs w:val="21"/>
                      <w:highlight w:val="none"/>
                    </w:rPr>
                    <w:t>公用工程</w:t>
                  </w:r>
                </w:p>
              </w:tc>
              <w:tc>
                <w:tcPr>
                  <w:tcW w:w="683" w:type="pct"/>
                  <w:gridSpan w:val="2"/>
                  <w:tcBorders>
                    <w:top w:val="single" w:color="auto" w:sz="4" w:space="0"/>
                    <w:left w:val="single" w:color="auto" w:sz="4" w:space="0"/>
                    <w:bottom w:val="single" w:color="auto" w:sz="4" w:space="0"/>
                    <w:right w:val="single" w:color="auto" w:sz="4" w:space="0"/>
                  </w:tcBorders>
                  <w:noWrap w:val="0"/>
                  <w:vAlign w:val="center"/>
                </w:tcPr>
                <w:p w14:paraId="2B6856C0">
                  <w:pPr>
                    <w:adjustRightInd w:val="0"/>
                    <w:snapToGrid w:val="0"/>
                    <w:jc w:val="center"/>
                    <w:rPr>
                      <w:sz w:val="21"/>
                      <w:szCs w:val="21"/>
                      <w:highlight w:val="none"/>
                    </w:rPr>
                  </w:pPr>
                  <w:r>
                    <w:rPr>
                      <w:rFonts w:hAnsi="宋体"/>
                      <w:sz w:val="21"/>
                      <w:szCs w:val="21"/>
                      <w:highlight w:val="none"/>
                    </w:rPr>
                    <w:t>供水工程</w:t>
                  </w:r>
                </w:p>
              </w:tc>
              <w:tc>
                <w:tcPr>
                  <w:tcW w:w="1589" w:type="pct"/>
                  <w:gridSpan w:val="2"/>
                  <w:tcBorders>
                    <w:top w:val="single" w:color="auto" w:sz="4" w:space="0"/>
                    <w:left w:val="single" w:color="auto" w:sz="4" w:space="0"/>
                    <w:bottom w:val="single" w:color="auto" w:sz="4" w:space="0"/>
                    <w:right w:val="nil"/>
                  </w:tcBorders>
                  <w:noWrap w:val="0"/>
                  <w:vAlign w:val="center"/>
                </w:tcPr>
                <w:p w14:paraId="464864EA">
                  <w:pPr>
                    <w:adjustRightInd w:val="0"/>
                    <w:snapToGrid w:val="0"/>
                    <w:jc w:val="center"/>
                    <w:rPr>
                      <w:sz w:val="21"/>
                      <w:szCs w:val="21"/>
                      <w:highlight w:val="none"/>
                    </w:rPr>
                  </w:pPr>
                  <w:r>
                    <w:rPr>
                      <w:rFonts w:hAnsi="宋体"/>
                      <w:sz w:val="21"/>
                      <w:szCs w:val="21"/>
                      <w:highlight w:val="none"/>
                    </w:rPr>
                    <w:t>光伏组件清洗用水来源于鱼塘</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2175EDE0">
                  <w:pPr>
                    <w:adjustRightInd w:val="0"/>
                    <w:snapToGrid w:val="0"/>
                    <w:ind w:left="0" w:leftChars="0" w:right="0" w:rightChars="0"/>
                    <w:jc w:val="center"/>
                    <w:rPr>
                      <w:rFonts w:ascii="宋体" w:hAnsi="宋体" w:eastAsia="宋体" w:cs="宋体"/>
                      <w:sz w:val="21"/>
                      <w:szCs w:val="21"/>
                      <w:highlight w:val="none"/>
                      <w:lang w:val="en-US" w:eastAsia="en-US" w:bidi="ar-SA"/>
                    </w:rPr>
                  </w:pPr>
                  <w:r>
                    <w:rPr>
                      <w:rFonts w:hAnsi="宋体"/>
                      <w:sz w:val="21"/>
                      <w:szCs w:val="21"/>
                      <w:highlight w:val="none"/>
                    </w:rPr>
                    <w:t>光伏组件清洗用水来源于鱼塘</w:t>
                  </w:r>
                </w:p>
              </w:tc>
              <w:tc>
                <w:tcPr>
                  <w:tcW w:w="395" w:type="pct"/>
                  <w:tcBorders>
                    <w:top w:val="single" w:color="auto" w:sz="4" w:space="0"/>
                    <w:left w:val="single" w:color="auto" w:sz="4" w:space="0"/>
                    <w:bottom w:val="single" w:color="auto" w:sz="4" w:space="0"/>
                    <w:right w:val="nil"/>
                  </w:tcBorders>
                  <w:noWrap w:val="0"/>
                  <w:vAlign w:val="center"/>
                </w:tcPr>
                <w:p w14:paraId="4FF8A91C">
                  <w:pPr>
                    <w:adjustRightInd w:val="0"/>
                    <w:snapToGrid w:val="0"/>
                    <w:jc w:val="center"/>
                    <w:rPr>
                      <w:rFonts w:hint="eastAsia" w:hAnsi="宋体" w:eastAsia="宋体"/>
                      <w:sz w:val="21"/>
                      <w:szCs w:val="21"/>
                      <w:highlight w:val="none"/>
                      <w:lang w:val="en-US" w:eastAsia="zh-CN"/>
                    </w:rPr>
                  </w:pPr>
                  <w:r>
                    <w:rPr>
                      <w:rFonts w:hint="eastAsia" w:hAnsi="宋体"/>
                      <w:sz w:val="21"/>
                      <w:szCs w:val="21"/>
                      <w:highlight w:val="none"/>
                      <w:lang w:val="en-US" w:eastAsia="zh-CN"/>
                    </w:rPr>
                    <w:t>是</w:t>
                  </w:r>
                </w:p>
              </w:tc>
            </w:tr>
            <w:tr w14:paraId="43563C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continue"/>
                  <w:tcBorders>
                    <w:top w:val="single" w:color="auto" w:sz="4" w:space="0"/>
                    <w:left w:val="nil"/>
                    <w:bottom w:val="single" w:color="auto" w:sz="4" w:space="0"/>
                    <w:right w:val="single" w:color="auto" w:sz="4" w:space="0"/>
                  </w:tcBorders>
                  <w:noWrap w:val="0"/>
                  <w:vAlign w:val="center"/>
                </w:tcPr>
                <w:p w14:paraId="75FF8CDD">
                  <w:pPr>
                    <w:widowControl/>
                    <w:jc w:val="center"/>
                    <w:rPr>
                      <w:sz w:val="21"/>
                      <w:szCs w:val="21"/>
                      <w:highlight w:val="none"/>
                    </w:rPr>
                  </w:pPr>
                </w:p>
              </w:tc>
              <w:tc>
                <w:tcPr>
                  <w:tcW w:w="683" w:type="pct"/>
                  <w:gridSpan w:val="2"/>
                  <w:tcBorders>
                    <w:top w:val="single" w:color="auto" w:sz="4" w:space="0"/>
                    <w:left w:val="single" w:color="auto" w:sz="4" w:space="0"/>
                    <w:bottom w:val="single" w:color="auto" w:sz="4" w:space="0"/>
                    <w:right w:val="single" w:color="auto" w:sz="4" w:space="0"/>
                  </w:tcBorders>
                  <w:noWrap w:val="0"/>
                  <w:vAlign w:val="center"/>
                </w:tcPr>
                <w:p w14:paraId="1BD0E045">
                  <w:pPr>
                    <w:adjustRightInd w:val="0"/>
                    <w:snapToGrid w:val="0"/>
                    <w:jc w:val="center"/>
                    <w:rPr>
                      <w:sz w:val="21"/>
                      <w:szCs w:val="21"/>
                      <w:highlight w:val="none"/>
                    </w:rPr>
                  </w:pPr>
                  <w:r>
                    <w:rPr>
                      <w:rFonts w:hAnsi="宋体"/>
                      <w:sz w:val="21"/>
                      <w:szCs w:val="21"/>
                      <w:highlight w:val="none"/>
                    </w:rPr>
                    <w:t>排水工程</w:t>
                  </w:r>
                </w:p>
              </w:tc>
              <w:tc>
                <w:tcPr>
                  <w:tcW w:w="1589" w:type="pct"/>
                  <w:gridSpan w:val="2"/>
                  <w:tcBorders>
                    <w:top w:val="single" w:color="auto" w:sz="4" w:space="0"/>
                    <w:left w:val="single" w:color="auto" w:sz="4" w:space="0"/>
                    <w:bottom w:val="single" w:color="auto" w:sz="4" w:space="0"/>
                    <w:right w:val="nil"/>
                  </w:tcBorders>
                  <w:noWrap w:val="0"/>
                  <w:vAlign w:val="center"/>
                </w:tcPr>
                <w:p w14:paraId="1C69E117">
                  <w:pPr>
                    <w:adjustRightInd w:val="0"/>
                    <w:snapToGrid w:val="0"/>
                    <w:jc w:val="center"/>
                    <w:rPr>
                      <w:sz w:val="21"/>
                      <w:szCs w:val="21"/>
                      <w:highlight w:val="none"/>
                    </w:rPr>
                  </w:pPr>
                  <w:r>
                    <w:rPr>
                      <w:rFonts w:hAnsi="宋体"/>
                      <w:sz w:val="21"/>
                      <w:szCs w:val="21"/>
                      <w:highlight w:val="none"/>
                    </w:rPr>
                    <w:t>光伏组件清洗废水排入鱼塘中</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24662B5D">
                  <w:pPr>
                    <w:adjustRightInd w:val="0"/>
                    <w:snapToGrid w:val="0"/>
                    <w:ind w:left="0" w:leftChars="0" w:right="0" w:rightChars="0"/>
                    <w:jc w:val="center"/>
                    <w:rPr>
                      <w:rFonts w:ascii="宋体" w:hAnsi="宋体" w:eastAsia="宋体" w:cs="宋体"/>
                      <w:sz w:val="21"/>
                      <w:szCs w:val="21"/>
                      <w:highlight w:val="none"/>
                      <w:lang w:val="en-US" w:eastAsia="en-US" w:bidi="ar-SA"/>
                    </w:rPr>
                  </w:pPr>
                  <w:r>
                    <w:rPr>
                      <w:rFonts w:hAnsi="宋体"/>
                      <w:sz w:val="21"/>
                      <w:szCs w:val="21"/>
                      <w:highlight w:val="none"/>
                    </w:rPr>
                    <w:t>光伏组件清洗废水排入鱼塘中</w:t>
                  </w:r>
                </w:p>
              </w:tc>
              <w:tc>
                <w:tcPr>
                  <w:tcW w:w="395" w:type="pct"/>
                  <w:tcBorders>
                    <w:top w:val="single" w:color="auto" w:sz="4" w:space="0"/>
                    <w:left w:val="single" w:color="auto" w:sz="4" w:space="0"/>
                    <w:bottom w:val="single" w:color="auto" w:sz="4" w:space="0"/>
                    <w:right w:val="nil"/>
                  </w:tcBorders>
                  <w:noWrap w:val="0"/>
                  <w:vAlign w:val="center"/>
                </w:tcPr>
                <w:p w14:paraId="7A85FEDA">
                  <w:pPr>
                    <w:adjustRightInd w:val="0"/>
                    <w:snapToGrid w:val="0"/>
                    <w:ind w:left="0" w:leftChars="0" w:right="0" w:rightChars="0"/>
                    <w:jc w:val="center"/>
                    <w:rPr>
                      <w:rFonts w:hAnsi="宋体"/>
                      <w:sz w:val="21"/>
                      <w:szCs w:val="21"/>
                      <w:highlight w:val="none"/>
                    </w:rPr>
                  </w:pPr>
                  <w:r>
                    <w:rPr>
                      <w:rFonts w:hint="eastAsia"/>
                      <w:sz w:val="21"/>
                      <w:szCs w:val="21"/>
                      <w:highlight w:val="none"/>
                      <w:lang w:val="en-US" w:eastAsia="zh-CN"/>
                    </w:rPr>
                    <w:t>是</w:t>
                  </w:r>
                </w:p>
              </w:tc>
            </w:tr>
            <w:tr w14:paraId="2E72AF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continue"/>
                  <w:tcBorders>
                    <w:top w:val="single" w:color="auto" w:sz="4" w:space="0"/>
                    <w:left w:val="nil"/>
                    <w:bottom w:val="single" w:color="auto" w:sz="4" w:space="0"/>
                    <w:right w:val="single" w:color="auto" w:sz="4" w:space="0"/>
                  </w:tcBorders>
                  <w:noWrap w:val="0"/>
                  <w:vAlign w:val="center"/>
                </w:tcPr>
                <w:p w14:paraId="27A97875">
                  <w:pPr>
                    <w:widowControl/>
                    <w:jc w:val="center"/>
                    <w:rPr>
                      <w:sz w:val="21"/>
                      <w:szCs w:val="21"/>
                      <w:highlight w:val="none"/>
                    </w:rPr>
                  </w:pPr>
                </w:p>
              </w:tc>
              <w:tc>
                <w:tcPr>
                  <w:tcW w:w="683" w:type="pct"/>
                  <w:gridSpan w:val="2"/>
                  <w:tcBorders>
                    <w:top w:val="single" w:color="auto" w:sz="4" w:space="0"/>
                    <w:left w:val="single" w:color="auto" w:sz="4" w:space="0"/>
                    <w:bottom w:val="single" w:color="auto" w:sz="4" w:space="0"/>
                    <w:right w:val="single" w:color="auto" w:sz="4" w:space="0"/>
                  </w:tcBorders>
                  <w:noWrap w:val="0"/>
                  <w:vAlign w:val="center"/>
                </w:tcPr>
                <w:p w14:paraId="7DEC04E1">
                  <w:pPr>
                    <w:adjustRightInd w:val="0"/>
                    <w:snapToGrid w:val="0"/>
                    <w:jc w:val="center"/>
                    <w:rPr>
                      <w:sz w:val="21"/>
                      <w:szCs w:val="21"/>
                      <w:highlight w:val="none"/>
                    </w:rPr>
                  </w:pPr>
                  <w:r>
                    <w:rPr>
                      <w:rFonts w:hAnsi="宋体"/>
                      <w:sz w:val="21"/>
                      <w:szCs w:val="21"/>
                      <w:highlight w:val="none"/>
                    </w:rPr>
                    <w:t>供电工程</w:t>
                  </w:r>
                </w:p>
              </w:tc>
              <w:tc>
                <w:tcPr>
                  <w:tcW w:w="1589" w:type="pct"/>
                  <w:gridSpan w:val="2"/>
                  <w:tcBorders>
                    <w:top w:val="single" w:color="auto" w:sz="4" w:space="0"/>
                    <w:left w:val="single" w:color="auto" w:sz="4" w:space="0"/>
                    <w:bottom w:val="single" w:color="auto" w:sz="4" w:space="0"/>
                    <w:right w:val="nil"/>
                  </w:tcBorders>
                  <w:noWrap w:val="0"/>
                  <w:vAlign w:val="center"/>
                </w:tcPr>
                <w:p w14:paraId="68BA4E92">
                  <w:pPr>
                    <w:adjustRightInd w:val="0"/>
                    <w:snapToGrid w:val="0"/>
                    <w:jc w:val="center"/>
                    <w:rPr>
                      <w:sz w:val="21"/>
                      <w:szCs w:val="21"/>
                      <w:highlight w:val="none"/>
                    </w:rPr>
                  </w:pPr>
                  <w:r>
                    <w:rPr>
                      <w:rFonts w:hAnsi="宋体"/>
                      <w:bCs/>
                      <w:sz w:val="21"/>
                      <w:szCs w:val="21"/>
                      <w:highlight w:val="none"/>
                    </w:rPr>
                    <w:t>项目区用电采用市政电源</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34235290">
                  <w:pPr>
                    <w:adjustRightInd w:val="0"/>
                    <w:snapToGrid w:val="0"/>
                    <w:ind w:left="0" w:leftChars="0" w:right="0" w:rightChars="0"/>
                    <w:jc w:val="center"/>
                    <w:rPr>
                      <w:rFonts w:ascii="宋体" w:hAnsi="宋体" w:eastAsia="宋体" w:cs="宋体"/>
                      <w:sz w:val="21"/>
                      <w:szCs w:val="21"/>
                      <w:highlight w:val="none"/>
                      <w:lang w:val="en-US" w:eastAsia="en-US" w:bidi="ar-SA"/>
                    </w:rPr>
                  </w:pPr>
                  <w:r>
                    <w:rPr>
                      <w:rFonts w:hAnsi="宋体"/>
                      <w:bCs/>
                      <w:sz w:val="21"/>
                      <w:szCs w:val="21"/>
                      <w:highlight w:val="none"/>
                    </w:rPr>
                    <w:t>项目区用电采用市政电源</w:t>
                  </w:r>
                </w:p>
              </w:tc>
              <w:tc>
                <w:tcPr>
                  <w:tcW w:w="395" w:type="pct"/>
                  <w:tcBorders>
                    <w:top w:val="single" w:color="auto" w:sz="4" w:space="0"/>
                    <w:left w:val="single" w:color="auto" w:sz="4" w:space="0"/>
                    <w:bottom w:val="single" w:color="auto" w:sz="4" w:space="0"/>
                    <w:right w:val="nil"/>
                  </w:tcBorders>
                  <w:noWrap w:val="0"/>
                  <w:vAlign w:val="center"/>
                </w:tcPr>
                <w:p w14:paraId="2A5E36B0">
                  <w:pPr>
                    <w:adjustRightInd w:val="0"/>
                    <w:snapToGrid w:val="0"/>
                    <w:ind w:left="0" w:leftChars="0" w:right="0" w:rightChars="0"/>
                    <w:jc w:val="center"/>
                    <w:rPr>
                      <w:rFonts w:hAnsi="宋体"/>
                      <w:bCs/>
                      <w:sz w:val="21"/>
                      <w:szCs w:val="21"/>
                      <w:highlight w:val="none"/>
                    </w:rPr>
                  </w:pPr>
                  <w:r>
                    <w:rPr>
                      <w:rFonts w:hint="eastAsia" w:hAnsi="宋体"/>
                      <w:sz w:val="21"/>
                      <w:szCs w:val="21"/>
                      <w:highlight w:val="none"/>
                      <w:lang w:val="en-US" w:eastAsia="zh-CN"/>
                    </w:rPr>
                    <w:t>是</w:t>
                  </w:r>
                </w:p>
              </w:tc>
            </w:tr>
            <w:tr w14:paraId="090CAA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restart"/>
                  <w:tcBorders>
                    <w:top w:val="single" w:color="auto" w:sz="4" w:space="0"/>
                    <w:left w:val="nil"/>
                    <w:bottom w:val="single" w:color="auto" w:sz="4" w:space="0"/>
                    <w:right w:val="single" w:color="auto" w:sz="4" w:space="0"/>
                  </w:tcBorders>
                  <w:noWrap w:val="0"/>
                  <w:vAlign w:val="center"/>
                </w:tcPr>
                <w:p w14:paraId="2ABEBE42">
                  <w:pPr>
                    <w:adjustRightInd w:val="0"/>
                    <w:snapToGrid w:val="0"/>
                    <w:jc w:val="center"/>
                    <w:rPr>
                      <w:sz w:val="21"/>
                      <w:szCs w:val="21"/>
                      <w:highlight w:val="none"/>
                    </w:rPr>
                  </w:pPr>
                  <w:r>
                    <w:rPr>
                      <w:rFonts w:hAnsi="宋体"/>
                      <w:sz w:val="21"/>
                      <w:szCs w:val="21"/>
                      <w:highlight w:val="none"/>
                    </w:rPr>
                    <w:t>辅助工程</w:t>
                  </w:r>
                </w:p>
              </w:tc>
              <w:tc>
                <w:tcPr>
                  <w:tcW w:w="683" w:type="pct"/>
                  <w:gridSpan w:val="2"/>
                  <w:tcBorders>
                    <w:top w:val="single" w:color="auto" w:sz="4" w:space="0"/>
                    <w:left w:val="single" w:color="auto" w:sz="4" w:space="0"/>
                    <w:bottom w:val="single" w:color="auto" w:sz="4" w:space="0"/>
                    <w:right w:val="single" w:color="auto" w:sz="4" w:space="0"/>
                  </w:tcBorders>
                  <w:noWrap w:val="0"/>
                  <w:vAlign w:val="center"/>
                </w:tcPr>
                <w:p w14:paraId="1A652A66">
                  <w:pPr>
                    <w:adjustRightInd w:val="0"/>
                    <w:snapToGrid w:val="0"/>
                    <w:jc w:val="center"/>
                    <w:rPr>
                      <w:sz w:val="21"/>
                      <w:szCs w:val="21"/>
                      <w:highlight w:val="none"/>
                    </w:rPr>
                  </w:pPr>
                  <w:r>
                    <w:rPr>
                      <w:rFonts w:hAnsi="宋体"/>
                      <w:sz w:val="21"/>
                      <w:szCs w:val="21"/>
                      <w:highlight w:val="none"/>
                    </w:rPr>
                    <w:t>对外道路</w:t>
                  </w:r>
                </w:p>
              </w:tc>
              <w:tc>
                <w:tcPr>
                  <w:tcW w:w="1589" w:type="pct"/>
                  <w:gridSpan w:val="2"/>
                  <w:tcBorders>
                    <w:top w:val="single" w:color="auto" w:sz="4" w:space="0"/>
                    <w:left w:val="single" w:color="auto" w:sz="4" w:space="0"/>
                    <w:bottom w:val="single" w:color="auto" w:sz="4" w:space="0"/>
                    <w:right w:val="nil"/>
                  </w:tcBorders>
                  <w:noWrap w:val="0"/>
                  <w:vAlign w:val="center"/>
                </w:tcPr>
                <w:p w14:paraId="7618BDAA">
                  <w:pPr>
                    <w:adjustRightInd w:val="0"/>
                    <w:snapToGrid w:val="0"/>
                    <w:jc w:val="center"/>
                    <w:rPr>
                      <w:sz w:val="21"/>
                      <w:szCs w:val="21"/>
                      <w:highlight w:val="none"/>
                    </w:rPr>
                  </w:pPr>
                  <w:r>
                    <w:rPr>
                      <w:rFonts w:hAnsi="宋体"/>
                      <w:bCs/>
                      <w:iCs/>
                      <w:kern w:val="36"/>
                      <w:sz w:val="21"/>
                      <w:szCs w:val="21"/>
                      <w:highlight w:val="none"/>
                    </w:rPr>
                    <w:t>选址附近道路通畅，无需人工修建进场道路</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0A83D77F">
                  <w:pPr>
                    <w:adjustRightInd w:val="0"/>
                    <w:snapToGrid w:val="0"/>
                    <w:ind w:left="0" w:leftChars="0" w:right="0" w:rightChars="0"/>
                    <w:jc w:val="center"/>
                    <w:rPr>
                      <w:rFonts w:ascii="宋体" w:hAnsi="宋体" w:eastAsia="宋体" w:cs="宋体"/>
                      <w:sz w:val="21"/>
                      <w:szCs w:val="21"/>
                      <w:highlight w:val="none"/>
                      <w:lang w:val="en-US" w:eastAsia="en-US" w:bidi="ar-SA"/>
                    </w:rPr>
                  </w:pPr>
                  <w:r>
                    <w:rPr>
                      <w:rFonts w:hAnsi="宋体"/>
                      <w:bCs/>
                      <w:iCs/>
                      <w:kern w:val="36"/>
                      <w:sz w:val="21"/>
                      <w:szCs w:val="21"/>
                      <w:highlight w:val="none"/>
                    </w:rPr>
                    <w:t>选址附近道路通畅，无需人工修建进场道路</w:t>
                  </w:r>
                </w:p>
              </w:tc>
              <w:tc>
                <w:tcPr>
                  <w:tcW w:w="395" w:type="pct"/>
                  <w:tcBorders>
                    <w:top w:val="single" w:color="auto" w:sz="4" w:space="0"/>
                    <w:left w:val="single" w:color="auto" w:sz="4" w:space="0"/>
                    <w:bottom w:val="single" w:color="auto" w:sz="4" w:space="0"/>
                    <w:right w:val="nil"/>
                  </w:tcBorders>
                  <w:noWrap w:val="0"/>
                  <w:vAlign w:val="center"/>
                </w:tcPr>
                <w:p w14:paraId="1E3CB75D">
                  <w:pPr>
                    <w:adjustRightInd w:val="0"/>
                    <w:snapToGrid w:val="0"/>
                    <w:ind w:left="0" w:leftChars="0" w:right="0" w:rightChars="0"/>
                    <w:jc w:val="center"/>
                    <w:rPr>
                      <w:rFonts w:hAnsi="宋体"/>
                      <w:bCs/>
                      <w:iCs/>
                      <w:kern w:val="36"/>
                      <w:sz w:val="21"/>
                      <w:szCs w:val="21"/>
                      <w:highlight w:val="none"/>
                    </w:rPr>
                  </w:pPr>
                  <w:r>
                    <w:rPr>
                      <w:rFonts w:hint="eastAsia"/>
                      <w:sz w:val="21"/>
                      <w:szCs w:val="21"/>
                      <w:highlight w:val="none"/>
                      <w:lang w:val="en-US" w:eastAsia="zh-CN"/>
                    </w:rPr>
                    <w:t>是</w:t>
                  </w:r>
                </w:p>
              </w:tc>
            </w:tr>
            <w:tr w14:paraId="1B4062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continue"/>
                  <w:tcBorders>
                    <w:top w:val="single" w:color="auto" w:sz="4" w:space="0"/>
                    <w:left w:val="nil"/>
                    <w:bottom w:val="single" w:color="auto" w:sz="4" w:space="0"/>
                    <w:right w:val="single" w:color="auto" w:sz="4" w:space="0"/>
                  </w:tcBorders>
                  <w:noWrap w:val="0"/>
                  <w:vAlign w:val="center"/>
                </w:tcPr>
                <w:p w14:paraId="5B84903C">
                  <w:pPr>
                    <w:widowControl/>
                    <w:jc w:val="center"/>
                    <w:rPr>
                      <w:sz w:val="21"/>
                      <w:szCs w:val="21"/>
                      <w:highlight w:val="none"/>
                    </w:rPr>
                  </w:pPr>
                </w:p>
              </w:tc>
              <w:tc>
                <w:tcPr>
                  <w:tcW w:w="683" w:type="pct"/>
                  <w:gridSpan w:val="2"/>
                  <w:tcBorders>
                    <w:top w:val="single" w:color="auto" w:sz="4" w:space="0"/>
                    <w:left w:val="single" w:color="auto" w:sz="4" w:space="0"/>
                    <w:bottom w:val="single" w:color="auto" w:sz="4" w:space="0"/>
                    <w:right w:val="single" w:color="auto" w:sz="4" w:space="0"/>
                  </w:tcBorders>
                  <w:noWrap w:val="0"/>
                  <w:vAlign w:val="center"/>
                </w:tcPr>
                <w:p w14:paraId="692A4A40">
                  <w:pPr>
                    <w:adjustRightInd w:val="0"/>
                    <w:snapToGrid w:val="0"/>
                    <w:jc w:val="center"/>
                    <w:rPr>
                      <w:sz w:val="21"/>
                      <w:szCs w:val="21"/>
                      <w:highlight w:val="none"/>
                    </w:rPr>
                  </w:pPr>
                  <w:r>
                    <w:rPr>
                      <w:rFonts w:hAnsi="宋体"/>
                      <w:sz w:val="21"/>
                      <w:szCs w:val="21"/>
                      <w:highlight w:val="none"/>
                    </w:rPr>
                    <w:t>场内道路</w:t>
                  </w:r>
                </w:p>
              </w:tc>
              <w:tc>
                <w:tcPr>
                  <w:tcW w:w="1589" w:type="pct"/>
                  <w:gridSpan w:val="2"/>
                  <w:tcBorders>
                    <w:top w:val="single" w:color="auto" w:sz="4" w:space="0"/>
                    <w:left w:val="single" w:color="auto" w:sz="4" w:space="0"/>
                    <w:bottom w:val="single" w:color="auto" w:sz="4" w:space="0"/>
                    <w:right w:val="nil"/>
                  </w:tcBorders>
                  <w:noWrap w:val="0"/>
                  <w:vAlign w:val="center"/>
                </w:tcPr>
                <w:p w14:paraId="6251683E">
                  <w:pPr>
                    <w:adjustRightInd w:val="0"/>
                    <w:snapToGrid w:val="0"/>
                    <w:jc w:val="center"/>
                    <w:rPr>
                      <w:sz w:val="21"/>
                      <w:szCs w:val="21"/>
                      <w:highlight w:val="none"/>
                    </w:rPr>
                  </w:pPr>
                  <w:r>
                    <w:rPr>
                      <w:rFonts w:hAnsi="宋体"/>
                      <w:sz w:val="21"/>
                      <w:szCs w:val="21"/>
                      <w:highlight w:val="none"/>
                    </w:rPr>
                    <w:t>新修道路为主，利用部分原有土路，简易石渣路面，道路宽为</w:t>
                  </w:r>
                  <w:r>
                    <w:rPr>
                      <w:sz w:val="21"/>
                      <w:szCs w:val="21"/>
                      <w:highlight w:val="none"/>
                    </w:rPr>
                    <w:t>4m</w:t>
                  </w:r>
                  <w:r>
                    <w:rPr>
                      <w:rFonts w:hAnsi="宋体"/>
                      <w:sz w:val="21"/>
                      <w:szCs w:val="21"/>
                      <w:highlight w:val="none"/>
                    </w:rPr>
                    <w:t>。</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5BD5F167">
                  <w:pPr>
                    <w:adjustRightInd w:val="0"/>
                    <w:snapToGrid w:val="0"/>
                    <w:ind w:left="0" w:leftChars="0" w:right="0" w:rightChars="0"/>
                    <w:jc w:val="center"/>
                    <w:rPr>
                      <w:rFonts w:ascii="宋体" w:hAnsi="宋体" w:eastAsia="宋体" w:cs="宋体"/>
                      <w:sz w:val="21"/>
                      <w:szCs w:val="21"/>
                      <w:highlight w:val="none"/>
                      <w:lang w:val="en-US" w:eastAsia="en-US" w:bidi="ar-SA"/>
                    </w:rPr>
                  </w:pPr>
                  <w:r>
                    <w:rPr>
                      <w:rFonts w:hAnsi="宋体"/>
                      <w:sz w:val="21"/>
                      <w:szCs w:val="21"/>
                      <w:highlight w:val="none"/>
                    </w:rPr>
                    <w:t>新修道路为主，利用部分原有土路，简易石渣路面，道路宽为</w:t>
                  </w:r>
                  <w:r>
                    <w:rPr>
                      <w:sz w:val="21"/>
                      <w:szCs w:val="21"/>
                      <w:highlight w:val="none"/>
                    </w:rPr>
                    <w:t>4m</w:t>
                  </w:r>
                  <w:r>
                    <w:rPr>
                      <w:rFonts w:hAnsi="宋体"/>
                      <w:sz w:val="21"/>
                      <w:szCs w:val="21"/>
                      <w:highlight w:val="none"/>
                    </w:rPr>
                    <w:t>。</w:t>
                  </w:r>
                </w:p>
              </w:tc>
              <w:tc>
                <w:tcPr>
                  <w:tcW w:w="395" w:type="pct"/>
                  <w:tcBorders>
                    <w:top w:val="single" w:color="auto" w:sz="4" w:space="0"/>
                    <w:left w:val="single" w:color="auto" w:sz="4" w:space="0"/>
                    <w:bottom w:val="single" w:color="auto" w:sz="4" w:space="0"/>
                    <w:right w:val="nil"/>
                  </w:tcBorders>
                  <w:noWrap w:val="0"/>
                  <w:vAlign w:val="center"/>
                </w:tcPr>
                <w:p w14:paraId="4A25CAC8">
                  <w:pPr>
                    <w:adjustRightInd w:val="0"/>
                    <w:snapToGrid w:val="0"/>
                    <w:ind w:left="0" w:leftChars="0" w:right="0" w:rightChars="0"/>
                    <w:jc w:val="center"/>
                    <w:rPr>
                      <w:rFonts w:hAnsi="宋体"/>
                      <w:sz w:val="21"/>
                      <w:szCs w:val="21"/>
                      <w:highlight w:val="none"/>
                    </w:rPr>
                  </w:pPr>
                  <w:r>
                    <w:rPr>
                      <w:rFonts w:hint="eastAsia" w:hAnsi="宋体"/>
                      <w:sz w:val="21"/>
                      <w:szCs w:val="21"/>
                      <w:highlight w:val="none"/>
                      <w:lang w:val="en-US" w:eastAsia="zh-CN"/>
                    </w:rPr>
                    <w:t>是</w:t>
                  </w:r>
                </w:p>
              </w:tc>
            </w:tr>
            <w:tr w14:paraId="30C032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continue"/>
                  <w:tcBorders>
                    <w:top w:val="single" w:color="auto" w:sz="4" w:space="0"/>
                    <w:left w:val="nil"/>
                    <w:bottom w:val="single" w:color="auto" w:sz="4" w:space="0"/>
                    <w:right w:val="single" w:color="auto" w:sz="4" w:space="0"/>
                  </w:tcBorders>
                  <w:noWrap w:val="0"/>
                  <w:vAlign w:val="center"/>
                </w:tcPr>
                <w:p w14:paraId="12B5944F">
                  <w:pPr>
                    <w:widowControl/>
                    <w:jc w:val="center"/>
                    <w:rPr>
                      <w:sz w:val="21"/>
                      <w:szCs w:val="21"/>
                      <w:highlight w:val="none"/>
                    </w:rPr>
                  </w:pPr>
                </w:p>
              </w:tc>
              <w:tc>
                <w:tcPr>
                  <w:tcW w:w="683" w:type="pct"/>
                  <w:gridSpan w:val="2"/>
                  <w:tcBorders>
                    <w:top w:val="single" w:color="auto" w:sz="4" w:space="0"/>
                    <w:left w:val="single" w:color="auto" w:sz="4" w:space="0"/>
                    <w:bottom w:val="single" w:color="auto" w:sz="4" w:space="0"/>
                    <w:right w:val="single" w:color="auto" w:sz="4" w:space="0"/>
                  </w:tcBorders>
                  <w:noWrap w:val="0"/>
                  <w:vAlign w:val="center"/>
                </w:tcPr>
                <w:p w14:paraId="1D09FA10">
                  <w:pPr>
                    <w:adjustRightInd w:val="0"/>
                    <w:snapToGrid w:val="0"/>
                    <w:jc w:val="center"/>
                    <w:rPr>
                      <w:sz w:val="21"/>
                      <w:szCs w:val="21"/>
                      <w:highlight w:val="none"/>
                    </w:rPr>
                  </w:pPr>
                  <w:r>
                    <w:rPr>
                      <w:rFonts w:hAnsi="宋体"/>
                      <w:sz w:val="21"/>
                      <w:szCs w:val="21"/>
                      <w:highlight w:val="none"/>
                    </w:rPr>
                    <w:t>办公场所</w:t>
                  </w:r>
                </w:p>
              </w:tc>
              <w:tc>
                <w:tcPr>
                  <w:tcW w:w="1589" w:type="pct"/>
                  <w:gridSpan w:val="2"/>
                  <w:tcBorders>
                    <w:top w:val="single" w:color="auto" w:sz="4" w:space="0"/>
                    <w:left w:val="single" w:color="auto" w:sz="4" w:space="0"/>
                    <w:bottom w:val="single" w:color="auto" w:sz="4" w:space="0"/>
                    <w:right w:val="nil"/>
                  </w:tcBorders>
                  <w:noWrap w:val="0"/>
                  <w:vAlign w:val="center"/>
                </w:tcPr>
                <w:p w14:paraId="086A2E7E">
                  <w:pPr>
                    <w:adjustRightInd w:val="0"/>
                    <w:snapToGrid w:val="0"/>
                    <w:jc w:val="center"/>
                    <w:rPr>
                      <w:sz w:val="21"/>
                      <w:szCs w:val="21"/>
                      <w:highlight w:val="none"/>
                    </w:rPr>
                  </w:pPr>
                  <w:r>
                    <w:rPr>
                      <w:rFonts w:hAnsi="宋体"/>
                      <w:sz w:val="21"/>
                      <w:szCs w:val="21"/>
                      <w:highlight w:val="none"/>
                    </w:rPr>
                    <w:t>光伏场区内不设办公场所</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21CF9EE2">
                  <w:pPr>
                    <w:adjustRightInd w:val="0"/>
                    <w:snapToGrid w:val="0"/>
                    <w:ind w:left="0" w:leftChars="0" w:right="0" w:rightChars="0"/>
                    <w:jc w:val="center"/>
                    <w:rPr>
                      <w:rFonts w:ascii="宋体" w:hAnsi="宋体" w:eastAsia="宋体" w:cs="宋体"/>
                      <w:sz w:val="21"/>
                      <w:szCs w:val="21"/>
                      <w:highlight w:val="none"/>
                      <w:lang w:val="en-US" w:eastAsia="en-US" w:bidi="ar-SA"/>
                    </w:rPr>
                  </w:pPr>
                  <w:r>
                    <w:rPr>
                      <w:rFonts w:hAnsi="宋体"/>
                      <w:sz w:val="21"/>
                      <w:szCs w:val="21"/>
                      <w:highlight w:val="none"/>
                    </w:rPr>
                    <w:t>光伏场区内不设办公场所</w:t>
                  </w:r>
                </w:p>
              </w:tc>
              <w:tc>
                <w:tcPr>
                  <w:tcW w:w="395" w:type="pct"/>
                  <w:tcBorders>
                    <w:top w:val="single" w:color="auto" w:sz="4" w:space="0"/>
                    <w:left w:val="single" w:color="auto" w:sz="4" w:space="0"/>
                    <w:bottom w:val="single" w:color="auto" w:sz="4" w:space="0"/>
                    <w:right w:val="nil"/>
                  </w:tcBorders>
                  <w:noWrap w:val="0"/>
                  <w:vAlign w:val="center"/>
                </w:tcPr>
                <w:p w14:paraId="273AF698">
                  <w:pPr>
                    <w:adjustRightInd w:val="0"/>
                    <w:snapToGrid w:val="0"/>
                    <w:ind w:left="0" w:leftChars="0" w:right="0" w:rightChars="0"/>
                    <w:jc w:val="center"/>
                    <w:rPr>
                      <w:rFonts w:hAnsi="宋体"/>
                      <w:sz w:val="21"/>
                      <w:szCs w:val="21"/>
                      <w:highlight w:val="none"/>
                    </w:rPr>
                  </w:pPr>
                  <w:r>
                    <w:rPr>
                      <w:rFonts w:hint="eastAsia"/>
                      <w:sz w:val="21"/>
                      <w:szCs w:val="21"/>
                      <w:highlight w:val="none"/>
                      <w:lang w:val="en-US" w:eastAsia="zh-CN"/>
                    </w:rPr>
                    <w:t>是</w:t>
                  </w:r>
                </w:p>
              </w:tc>
            </w:tr>
            <w:tr w14:paraId="22721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restart"/>
                  <w:tcBorders>
                    <w:top w:val="single" w:color="auto" w:sz="4" w:space="0"/>
                    <w:left w:val="nil"/>
                    <w:right w:val="single" w:color="auto" w:sz="4" w:space="0"/>
                  </w:tcBorders>
                  <w:noWrap w:val="0"/>
                  <w:vAlign w:val="center"/>
                </w:tcPr>
                <w:p w14:paraId="079B79D7">
                  <w:pPr>
                    <w:jc w:val="center"/>
                    <w:rPr>
                      <w:sz w:val="21"/>
                      <w:szCs w:val="21"/>
                      <w:highlight w:val="none"/>
                    </w:rPr>
                  </w:pPr>
                  <w:r>
                    <w:rPr>
                      <w:rFonts w:hAnsi="宋体"/>
                      <w:sz w:val="21"/>
                      <w:szCs w:val="21"/>
                      <w:highlight w:val="none"/>
                    </w:rPr>
                    <w:t>环保工程</w:t>
                  </w:r>
                </w:p>
              </w:tc>
              <w:tc>
                <w:tcPr>
                  <w:tcW w:w="251" w:type="pct"/>
                  <w:vMerge w:val="restart"/>
                  <w:tcBorders>
                    <w:top w:val="single" w:color="auto" w:sz="4" w:space="0"/>
                    <w:left w:val="single" w:color="auto" w:sz="4" w:space="0"/>
                    <w:right w:val="single" w:color="auto" w:sz="4" w:space="0"/>
                  </w:tcBorders>
                  <w:noWrap w:val="0"/>
                  <w:vAlign w:val="center"/>
                </w:tcPr>
                <w:p w14:paraId="4D2E0626">
                  <w:pPr>
                    <w:adjustRightInd w:val="0"/>
                    <w:snapToGrid w:val="0"/>
                    <w:jc w:val="center"/>
                    <w:rPr>
                      <w:rFonts w:hAnsi="宋体"/>
                      <w:sz w:val="21"/>
                      <w:szCs w:val="21"/>
                      <w:highlight w:val="none"/>
                    </w:rPr>
                  </w:pPr>
                  <w:r>
                    <w:rPr>
                      <w:rFonts w:hint="eastAsia" w:hAnsi="宋体"/>
                      <w:sz w:val="21"/>
                      <w:szCs w:val="21"/>
                      <w:highlight w:val="none"/>
                    </w:rPr>
                    <w:t>施工期</w:t>
                  </w:r>
                </w:p>
              </w:tc>
              <w:tc>
                <w:tcPr>
                  <w:tcW w:w="432" w:type="pct"/>
                  <w:tcBorders>
                    <w:top w:val="single" w:color="auto" w:sz="4" w:space="0"/>
                    <w:left w:val="single" w:color="auto" w:sz="4" w:space="0"/>
                    <w:bottom w:val="single" w:color="auto" w:sz="4" w:space="0"/>
                    <w:right w:val="single" w:color="auto" w:sz="4" w:space="0"/>
                  </w:tcBorders>
                  <w:noWrap w:val="0"/>
                  <w:vAlign w:val="center"/>
                </w:tcPr>
                <w:p w14:paraId="25BC2C2F">
                  <w:pPr>
                    <w:adjustRightInd w:val="0"/>
                    <w:snapToGrid w:val="0"/>
                    <w:jc w:val="center"/>
                    <w:rPr>
                      <w:sz w:val="21"/>
                      <w:szCs w:val="21"/>
                      <w:highlight w:val="none"/>
                    </w:rPr>
                  </w:pPr>
                  <w:r>
                    <w:rPr>
                      <w:rFonts w:hAnsi="宋体"/>
                      <w:sz w:val="21"/>
                      <w:szCs w:val="21"/>
                      <w:highlight w:val="none"/>
                    </w:rPr>
                    <w:t>废水治理</w:t>
                  </w:r>
                </w:p>
              </w:tc>
              <w:tc>
                <w:tcPr>
                  <w:tcW w:w="1589" w:type="pct"/>
                  <w:gridSpan w:val="2"/>
                  <w:tcBorders>
                    <w:top w:val="single" w:color="auto" w:sz="4" w:space="0"/>
                    <w:left w:val="single" w:color="auto" w:sz="4" w:space="0"/>
                    <w:bottom w:val="single" w:color="auto" w:sz="4" w:space="0"/>
                    <w:right w:val="nil"/>
                  </w:tcBorders>
                  <w:noWrap w:val="0"/>
                  <w:vAlign w:val="center"/>
                </w:tcPr>
                <w:p w14:paraId="5084BEBF">
                  <w:pPr>
                    <w:adjustRightInd w:val="0"/>
                    <w:snapToGrid w:val="0"/>
                    <w:jc w:val="center"/>
                    <w:rPr>
                      <w:rFonts w:hAnsi="宋体"/>
                      <w:sz w:val="21"/>
                      <w:szCs w:val="21"/>
                      <w:highlight w:val="none"/>
                    </w:rPr>
                  </w:pPr>
                  <w:r>
                    <w:rPr>
                      <w:rFonts w:hint="eastAsia"/>
                      <w:bCs/>
                      <w:sz w:val="21"/>
                      <w:szCs w:val="21"/>
                      <w:highlight w:val="none"/>
                    </w:rPr>
                    <w:t>施工废水经沉淀池处理后回用；生活污水</w:t>
                  </w:r>
                  <w:r>
                    <w:rPr>
                      <w:rFonts w:hAnsi="宋体"/>
                      <w:sz w:val="21"/>
                      <w:szCs w:val="21"/>
                      <w:highlight w:val="none"/>
                    </w:rPr>
                    <w:t>收集后运至城镇污水厂纳污范围内的公共卫生间排放</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778548FA">
                  <w:pPr>
                    <w:adjustRightInd w:val="0"/>
                    <w:snapToGrid w:val="0"/>
                    <w:ind w:left="0" w:leftChars="0" w:right="0" w:rightChars="0"/>
                    <w:jc w:val="center"/>
                    <w:rPr>
                      <w:rFonts w:hint="eastAsia" w:ascii="宋体" w:hAnsi="宋体" w:eastAsia="宋体" w:cs="宋体"/>
                      <w:sz w:val="21"/>
                      <w:szCs w:val="21"/>
                      <w:highlight w:val="none"/>
                      <w:lang w:val="en-US" w:eastAsia="en-US" w:bidi="ar-SA"/>
                    </w:rPr>
                  </w:pPr>
                  <w:r>
                    <w:rPr>
                      <w:rFonts w:hint="eastAsia"/>
                      <w:bCs/>
                      <w:sz w:val="21"/>
                      <w:szCs w:val="21"/>
                      <w:highlight w:val="none"/>
                    </w:rPr>
                    <w:t>施工废水经沉淀池处理后回用；生活污水</w:t>
                  </w:r>
                  <w:r>
                    <w:rPr>
                      <w:rFonts w:hAnsi="宋体"/>
                      <w:sz w:val="21"/>
                      <w:szCs w:val="21"/>
                      <w:highlight w:val="none"/>
                    </w:rPr>
                    <w:t>收集后运至城镇污水厂纳污范围内的公共卫生间排放</w:t>
                  </w:r>
                </w:p>
              </w:tc>
              <w:tc>
                <w:tcPr>
                  <w:tcW w:w="395" w:type="pct"/>
                  <w:tcBorders>
                    <w:top w:val="single" w:color="auto" w:sz="4" w:space="0"/>
                    <w:left w:val="single" w:color="auto" w:sz="4" w:space="0"/>
                    <w:bottom w:val="single" w:color="auto" w:sz="4" w:space="0"/>
                    <w:right w:val="nil"/>
                  </w:tcBorders>
                  <w:noWrap w:val="0"/>
                  <w:vAlign w:val="center"/>
                </w:tcPr>
                <w:p w14:paraId="120B9DE5">
                  <w:pPr>
                    <w:adjustRightInd w:val="0"/>
                    <w:snapToGrid w:val="0"/>
                    <w:ind w:left="0" w:leftChars="0" w:right="0" w:rightChars="0"/>
                    <w:jc w:val="center"/>
                    <w:rPr>
                      <w:rFonts w:hint="eastAsia"/>
                      <w:bCs/>
                      <w:sz w:val="21"/>
                      <w:szCs w:val="21"/>
                      <w:highlight w:val="none"/>
                    </w:rPr>
                  </w:pPr>
                  <w:r>
                    <w:rPr>
                      <w:rFonts w:hint="eastAsia"/>
                      <w:sz w:val="21"/>
                      <w:szCs w:val="21"/>
                      <w:highlight w:val="none"/>
                      <w:lang w:val="en-US" w:eastAsia="zh-CN"/>
                    </w:rPr>
                    <w:t>是</w:t>
                  </w:r>
                </w:p>
              </w:tc>
            </w:tr>
            <w:tr w14:paraId="789D08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continue"/>
                  <w:tcBorders>
                    <w:left w:val="nil"/>
                    <w:right w:val="single" w:color="auto" w:sz="4" w:space="0"/>
                  </w:tcBorders>
                  <w:noWrap w:val="0"/>
                  <w:vAlign w:val="center"/>
                </w:tcPr>
                <w:p w14:paraId="352C26DB">
                  <w:pPr>
                    <w:jc w:val="center"/>
                    <w:rPr>
                      <w:sz w:val="21"/>
                      <w:szCs w:val="21"/>
                      <w:highlight w:val="none"/>
                    </w:rPr>
                  </w:pPr>
                </w:p>
              </w:tc>
              <w:tc>
                <w:tcPr>
                  <w:tcW w:w="251" w:type="pct"/>
                  <w:vMerge w:val="continue"/>
                  <w:tcBorders>
                    <w:left w:val="single" w:color="auto" w:sz="4" w:space="0"/>
                    <w:right w:val="single" w:color="auto" w:sz="4" w:space="0"/>
                  </w:tcBorders>
                  <w:noWrap w:val="0"/>
                  <w:vAlign w:val="center"/>
                </w:tcPr>
                <w:p w14:paraId="1C4FC28F">
                  <w:pPr>
                    <w:adjustRightInd w:val="0"/>
                    <w:snapToGrid w:val="0"/>
                    <w:jc w:val="center"/>
                    <w:rPr>
                      <w:rFonts w:hAnsi="宋体"/>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noWrap w:val="0"/>
                  <w:vAlign w:val="center"/>
                </w:tcPr>
                <w:p w14:paraId="266954B9">
                  <w:pPr>
                    <w:adjustRightInd w:val="0"/>
                    <w:snapToGrid w:val="0"/>
                    <w:jc w:val="center"/>
                    <w:rPr>
                      <w:sz w:val="21"/>
                      <w:szCs w:val="21"/>
                      <w:highlight w:val="none"/>
                    </w:rPr>
                  </w:pPr>
                  <w:r>
                    <w:rPr>
                      <w:rFonts w:hAnsi="宋体"/>
                      <w:sz w:val="21"/>
                      <w:szCs w:val="21"/>
                      <w:highlight w:val="none"/>
                    </w:rPr>
                    <w:t>噪声治理</w:t>
                  </w:r>
                </w:p>
              </w:tc>
              <w:tc>
                <w:tcPr>
                  <w:tcW w:w="1589" w:type="pct"/>
                  <w:gridSpan w:val="2"/>
                  <w:tcBorders>
                    <w:top w:val="single" w:color="auto" w:sz="4" w:space="0"/>
                    <w:left w:val="single" w:color="auto" w:sz="4" w:space="0"/>
                    <w:bottom w:val="single" w:color="auto" w:sz="4" w:space="0"/>
                    <w:right w:val="nil"/>
                  </w:tcBorders>
                  <w:noWrap w:val="0"/>
                  <w:vAlign w:val="center"/>
                </w:tcPr>
                <w:p w14:paraId="04E734BA">
                  <w:pPr>
                    <w:adjustRightInd w:val="0"/>
                    <w:snapToGrid w:val="0"/>
                    <w:jc w:val="center"/>
                    <w:rPr>
                      <w:rFonts w:hAnsi="宋体"/>
                      <w:sz w:val="21"/>
                      <w:szCs w:val="21"/>
                      <w:highlight w:val="none"/>
                    </w:rPr>
                  </w:pPr>
                  <w:r>
                    <w:rPr>
                      <w:rFonts w:hint="eastAsia" w:hAnsi="宋体"/>
                      <w:sz w:val="21"/>
                      <w:szCs w:val="21"/>
                      <w:highlight w:val="none"/>
                    </w:rPr>
                    <w:t>在靠近敏感点时不允许夜间施工</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4DB7004C">
                  <w:pPr>
                    <w:adjustRightInd w:val="0"/>
                    <w:snapToGrid w:val="0"/>
                    <w:ind w:left="0" w:leftChars="0" w:right="0" w:rightChars="0"/>
                    <w:jc w:val="center"/>
                    <w:rPr>
                      <w:rFonts w:hint="eastAsia" w:ascii="宋体" w:hAnsi="宋体" w:eastAsia="宋体" w:cs="宋体"/>
                      <w:sz w:val="21"/>
                      <w:szCs w:val="21"/>
                      <w:highlight w:val="none"/>
                      <w:lang w:val="en-US" w:eastAsia="en-US" w:bidi="ar-SA"/>
                    </w:rPr>
                  </w:pPr>
                  <w:r>
                    <w:rPr>
                      <w:rFonts w:hint="eastAsia" w:hAnsi="宋体"/>
                      <w:sz w:val="21"/>
                      <w:szCs w:val="21"/>
                      <w:highlight w:val="none"/>
                    </w:rPr>
                    <w:t>在靠近敏感点时不允许夜间施工</w:t>
                  </w:r>
                </w:p>
              </w:tc>
              <w:tc>
                <w:tcPr>
                  <w:tcW w:w="395" w:type="pct"/>
                  <w:tcBorders>
                    <w:top w:val="single" w:color="auto" w:sz="4" w:space="0"/>
                    <w:left w:val="single" w:color="auto" w:sz="4" w:space="0"/>
                    <w:bottom w:val="single" w:color="auto" w:sz="4" w:space="0"/>
                    <w:right w:val="nil"/>
                  </w:tcBorders>
                  <w:noWrap w:val="0"/>
                  <w:vAlign w:val="center"/>
                </w:tcPr>
                <w:p w14:paraId="68025525">
                  <w:pPr>
                    <w:adjustRightInd w:val="0"/>
                    <w:snapToGrid w:val="0"/>
                    <w:ind w:left="0" w:leftChars="0" w:right="0" w:rightChars="0"/>
                    <w:jc w:val="center"/>
                    <w:rPr>
                      <w:rFonts w:hint="eastAsia" w:hAnsi="宋体"/>
                      <w:sz w:val="21"/>
                      <w:szCs w:val="21"/>
                      <w:highlight w:val="none"/>
                    </w:rPr>
                  </w:pPr>
                  <w:r>
                    <w:rPr>
                      <w:rFonts w:hint="eastAsia" w:hAnsi="宋体"/>
                      <w:sz w:val="21"/>
                      <w:szCs w:val="21"/>
                      <w:highlight w:val="none"/>
                      <w:lang w:val="en-US" w:eastAsia="zh-CN"/>
                    </w:rPr>
                    <w:t>是</w:t>
                  </w:r>
                </w:p>
              </w:tc>
            </w:tr>
            <w:tr w14:paraId="722D54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continue"/>
                  <w:tcBorders>
                    <w:left w:val="nil"/>
                    <w:right w:val="single" w:color="auto" w:sz="4" w:space="0"/>
                  </w:tcBorders>
                  <w:noWrap w:val="0"/>
                  <w:vAlign w:val="center"/>
                </w:tcPr>
                <w:p w14:paraId="304004A9">
                  <w:pPr>
                    <w:widowControl/>
                    <w:jc w:val="center"/>
                    <w:rPr>
                      <w:sz w:val="21"/>
                      <w:szCs w:val="21"/>
                      <w:highlight w:val="none"/>
                    </w:rPr>
                  </w:pPr>
                </w:p>
              </w:tc>
              <w:tc>
                <w:tcPr>
                  <w:tcW w:w="251" w:type="pct"/>
                  <w:vMerge w:val="continue"/>
                  <w:tcBorders>
                    <w:left w:val="single" w:color="auto" w:sz="4" w:space="0"/>
                    <w:right w:val="single" w:color="auto" w:sz="4" w:space="0"/>
                  </w:tcBorders>
                  <w:noWrap w:val="0"/>
                  <w:vAlign w:val="center"/>
                </w:tcPr>
                <w:p w14:paraId="75C7C074">
                  <w:pPr>
                    <w:adjustRightInd w:val="0"/>
                    <w:snapToGrid w:val="0"/>
                    <w:jc w:val="center"/>
                    <w:rPr>
                      <w:rFonts w:hAnsi="宋体"/>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noWrap w:val="0"/>
                  <w:vAlign w:val="center"/>
                </w:tcPr>
                <w:p w14:paraId="2E88663C">
                  <w:pPr>
                    <w:adjustRightInd w:val="0"/>
                    <w:snapToGrid w:val="0"/>
                    <w:jc w:val="center"/>
                    <w:rPr>
                      <w:sz w:val="21"/>
                      <w:szCs w:val="21"/>
                      <w:highlight w:val="none"/>
                    </w:rPr>
                  </w:pPr>
                  <w:r>
                    <w:rPr>
                      <w:rFonts w:hAnsi="宋体"/>
                      <w:sz w:val="21"/>
                      <w:szCs w:val="21"/>
                      <w:highlight w:val="none"/>
                    </w:rPr>
                    <w:t>固废</w:t>
                  </w:r>
                </w:p>
              </w:tc>
              <w:tc>
                <w:tcPr>
                  <w:tcW w:w="1589" w:type="pct"/>
                  <w:gridSpan w:val="2"/>
                  <w:tcBorders>
                    <w:top w:val="single" w:color="auto" w:sz="4" w:space="0"/>
                    <w:left w:val="single" w:color="auto" w:sz="4" w:space="0"/>
                    <w:bottom w:val="single" w:color="auto" w:sz="4" w:space="0"/>
                    <w:right w:val="nil"/>
                  </w:tcBorders>
                  <w:noWrap w:val="0"/>
                  <w:vAlign w:val="center"/>
                </w:tcPr>
                <w:p w14:paraId="09F02213">
                  <w:pPr>
                    <w:adjustRightInd w:val="0"/>
                    <w:snapToGrid w:val="0"/>
                    <w:jc w:val="center"/>
                    <w:rPr>
                      <w:rFonts w:hAnsi="宋体"/>
                      <w:sz w:val="21"/>
                      <w:szCs w:val="21"/>
                      <w:highlight w:val="none"/>
                    </w:rPr>
                  </w:pPr>
                  <w:r>
                    <w:rPr>
                      <w:rFonts w:hint="eastAsia" w:hAnsi="宋体"/>
                      <w:sz w:val="21"/>
                      <w:szCs w:val="21"/>
                      <w:highlight w:val="none"/>
                    </w:rPr>
                    <w:t>土石方回填，不产生弃方；生活垃圾由环卫部门清运；</w:t>
                  </w:r>
                  <w:r>
                    <w:rPr>
                      <w:rFonts w:hAnsi="宋体"/>
                      <w:sz w:val="21"/>
                      <w:szCs w:val="21"/>
                      <w:highlight w:val="none"/>
                    </w:rPr>
                    <w:t>木材和其他建筑材料可以回收利用</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06D365E9">
                  <w:pPr>
                    <w:adjustRightInd w:val="0"/>
                    <w:snapToGrid w:val="0"/>
                    <w:ind w:left="0" w:leftChars="0" w:right="0" w:rightChars="0"/>
                    <w:jc w:val="center"/>
                    <w:rPr>
                      <w:rFonts w:hint="eastAsia" w:ascii="宋体" w:hAnsi="宋体" w:eastAsia="宋体" w:cs="宋体"/>
                      <w:sz w:val="21"/>
                      <w:szCs w:val="21"/>
                      <w:highlight w:val="none"/>
                      <w:lang w:val="en-US" w:eastAsia="en-US" w:bidi="ar-SA"/>
                    </w:rPr>
                  </w:pPr>
                  <w:r>
                    <w:rPr>
                      <w:rFonts w:hint="eastAsia" w:hAnsi="宋体"/>
                      <w:sz w:val="21"/>
                      <w:szCs w:val="21"/>
                      <w:highlight w:val="none"/>
                    </w:rPr>
                    <w:t>土石方回填，不产生弃方；生活垃圾由环卫部门清运；</w:t>
                  </w:r>
                  <w:r>
                    <w:rPr>
                      <w:rFonts w:hAnsi="宋体"/>
                      <w:sz w:val="21"/>
                      <w:szCs w:val="21"/>
                      <w:highlight w:val="none"/>
                    </w:rPr>
                    <w:t>木材和其他建筑材料可以回收利用</w:t>
                  </w:r>
                </w:p>
              </w:tc>
              <w:tc>
                <w:tcPr>
                  <w:tcW w:w="395" w:type="pct"/>
                  <w:tcBorders>
                    <w:top w:val="single" w:color="auto" w:sz="4" w:space="0"/>
                    <w:left w:val="single" w:color="auto" w:sz="4" w:space="0"/>
                    <w:bottom w:val="single" w:color="auto" w:sz="4" w:space="0"/>
                    <w:right w:val="nil"/>
                  </w:tcBorders>
                  <w:noWrap w:val="0"/>
                  <w:vAlign w:val="center"/>
                </w:tcPr>
                <w:p w14:paraId="489B26B1">
                  <w:pPr>
                    <w:adjustRightInd w:val="0"/>
                    <w:snapToGrid w:val="0"/>
                    <w:ind w:left="0" w:leftChars="0" w:right="0" w:rightChars="0"/>
                    <w:jc w:val="center"/>
                    <w:rPr>
                      <w:rFonts w:hint="eastAsia" w:hAnsi="宋体"/>
                      <w:sz w:val="21"/>
                      <w:szCs w:val="21"/>
                      <w:highlight w:val="none"/>
                    </w:rPr>
                  </w:pPr>
                  <w:r>
                    <w:rPr>
                      <w:rFonts w:hint="eastAsia"/>
                      <w:sz w:val="21"/>
                      <w:szCs w:val="21"/>
                      <w:highlight w:val="none"/>
                      <w:lang w:val="en-US" w:eastAsia="zh-CN"/>
                    </w:rPr>
                    <w:t>是</w:t>
                  </w:r>
                </w:p>
              </w:tc>
            </w:tr>
            <w:tr w14:paraId="573472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continue"/>
                  <w:tcBorders>
                    <w:left w:val="nil"/>
                    <w:right w:val="single" w:color="auto" w:sz="4" w:space="0"/>
                  </w:tcBorders>
                  <w:noWrap w:val="0"/>
                  <w:vAlign w:val="center"/>
                </w:tcPr>
                <w:p w14:paraId="69D15DA8">
                  <w:pPr>
                    <w:widowControl/>
                    <w:jc w:val="center"/>
                    <w:rPr>
                      <w:sz w:val="21"/>
                      <w:szCs w:val="21"/>
                      <w:highlight w:val="none"/>
                    </w:rPr>
                  </w:pPr>
                </w:p>
              </w:tc>
              <w:tc>
                <w:tcPr>
                  <w:tcW w:w="251" w:type="pct"/>
                  <w:vMerge w:val="continue"/>
                  <w:tcBorders>
                    <w:left w:val="single" w:color="auto" w:sz="4" w:space="0"/>
                    <w:right w:val="single" w:color="auto" w:sz="4" w:space="0"/>
                  </w:tcBorders>
                  <w:noWrap w:val="0"/>
                  <w:vAlign w:val="center"/>
                </w:tcPr>
                <w:p w14:paraId="2A71F25D">
                  <w:pPr>
                    <w:adjustRightInd w:val="0"/>
                    <w:snapToGrid w:val="0"/>
                    <w:jc w:val="center"/>
                    <w:rPr>
                      <w:rFonts w:hAnsi="宋体"/>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noWrap w:val="0"/>
                  <w:vAlign w:val="center"/>
                </w:tcPr>
                <w:p w14:paraId="14DCA745">
                  <w:pPr>
                    <w:adjustRightInd w:val="0"/>
                    <w:snapToGrid w:val="0"/>
                    <w:jc w:val="center"/>
                    <w:rPr>
                      <w:sz w:val="21"/>
                      <w:szCs w:val="21"/>
                      <w:highlight w:val="none"/>
                    </w:rPr>
                  </w:pPr>
                  <w:r>
                    <w:rPr>
                      <w:rFonts w:hAnsi="宋体"/>
                      <w:sz w:val="21"/>
                      <w:szCs w:val="21"/>
                      <w:highlight w:val="none"/>
                    </w:rPr>
                    <w:t>废气治理</w:t>
                  </w:r>
                </w:p>
              </w:tc>
              <w:tc>
                <w:tcPr>
                  <w:tcW w:w="1589" w:type="pct"/>
                  <w:gridSpan w:val="2"/>
                  <w:tcBorders>
                    <w:top w:val="single" w:color="auto" w:sz="4" w:space="0"/>
                    <w:left w:val="single" w:color="auto" w:sz="4" w:space="0"/>
                    <w:bottom w:val="single" w:color="auto" w:sz="4" w:space="0"/>
                    <w:right w:val="nil"/>
                  </w:tcBorders>
                  <w:noWrap w:val="0"/>
                  <w:vAlign w:val="center"/>
                </w:tcPr>
                <w:p w14:paraId="545DF4AC">
                  <w:pPr>
                    <w:adjustRightInd w:val="0"/>
                    <w:snapToGrid w:val="0"/>
                    <w:jc w:val="center"/>
                    <w:rPr>
                      <w:rFonts w:hAnsi="宋体"/>
                      <w:sz w:val="21"/>
                      <w:szCs w:val="21"/>
                      <w:highlight w:val="none"/>
                    </w:rPr>
                  </w:pPr>
                  <w:r>
                    <w:rPr>
                      <w:rFonts w:hint="eastAsia" w:hAnsi="宋体"/>
                      <w:sz w:val="21"/>
                      <w:szCs w:val="21"/>
                      <w:highlight w:val="none"/>
                    </w:rPr>
                    <w:t>物料覆盖、扬尘洒水</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6D92750D">
                  <w:pPr>
                    <w:adjustRightInd w:val="0"/>
                    <w:snapToGrid w:val="0"/>
                    <w:ind w:left="0" w:leftChars="0" w:right="0" w:rightChars="0"/>
                    <w:jc w:val="center"/>
                    <w:rPr>
                      <w:rFonts w:hint="eastAsia" w:ascii="宋体" w:hAnsi="宋体" w:eastAsia="宋体" w:cs="宋体"/>
                      <w:sz w:val="21"/>
                      <w:szCs w:val="21"/>
                      <w:highlight w:val="none"/>
                      <w:lang w:val="en-US" w:eastAsia="en-US" w:bidi="ar-SA"/>
                    </w:rPr>
                  </w:pPr>
                  <w:r>
                    <w:rPr>
                      <w:rFonts w:hint="eastAsia" w:hAnsi="宋体"/>
                      <w:sz w:val="21"/>
                      <w:szCs w:val="21"/>
                      <w:highlight w:val="none"/>
                    </w:rPr>
                    <w:t>物料覆盖、扬尘洒水</w:t>
                  </w:r>
                </w:p>
              </w:tc>
              <w:tc>
                <w:tcPr>
                  <w:tcW w:w="395" w:type="pct"/>
                  <w:tcBorders>
                    <w:top w:val="single" w:color="auto" w:sz="4" w:space="0"/>
                    <w:left w:val="single" w:color="auto" w:sz="4" w:space="0"/>
                    <w:bottom w:val="single" w:color="auto" w:sz="4" w:space="0"/>
                    <w:right w:val="nil"/>
                  </w:tcBorders>
                  <w:noWrap w:val="0"/>
                  <w:vAlign w:val="center"/>
                </w:tcPr>
                <w:p w14:paraId="381E8DCE">
                  <w:pPr>
                    <w:adjustRightInd w:val="0"/>
                    <w:snapToGrid w:val="0"/>
                    <w:ind w:left="0" w:leftChars="0" w:right="0" w:rightChars="0"/>
                    <w:jc w:val="center"/>
                    <w:rPr>
                      <w:rFonts w:hint="eastAsia" w:hAnsi="宋体"/>
                      <w:sz w:val="21"/>
                      <w:szCs w:val="21"/>
                      <w:highlight w:val="none"/>
                    </w:rPr>
                  </w:pPr>
                  <w:r>
                    <w:rPr>
                      <w:rFonts w:hint="eastAsia" w:hAnsi="宋体"/>
                      <w:sz w:val="21"/>
                      <w:szCs w:val="21"/>
                      <w:highlight w:val="none"/>
                      <w:lang w:val="en-US" w:eastAsia="zh-CN"/>
                    </w:rPr>
                    <w:t>是</w:t>
                  </w:r>
                </w:p>
              </w:tc>
            </w:tr>
            <w:tr w14:paraId="7992CD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continue"/>
                  <w:tcBorders>
                    <w:left w:val="nil"/>
                    <w:right w:val="single" w:color="auto" w:sz="4" w:space="0"/>
                  </w:tcBorders>
                  <w:noWrap w:val="0"/>
                  <w:vAlign w:val="center"/>
                </w:tcPr>
                <w:p w14:paraId="6E176BE8">
                  <w:pPr>
                    <w:widowControl/>
                    <w:jc w:val="center"/>
                    <w:rPr>
                      <w:sz w:val="21"/>
                      <w:szCs w:val="21"/>
                      <w:highlight w:val="none"/>
                    </w:rPr>
                  </w:pPr>
                </w:p>
              </w:tc>
              <w:tc>
                <w:tcPr>
                  <w:tcW w:w="251" w:type="pct"/>
                  <w:vMerge w:val="continue"/>
                  <w:tcBorders>
                    <w:left w:val="single" w:color="auto" w:sz="4" w:space="0"/>
                    <w:bottom w:val="single" w:color="auto" w:sz="4" w:space="0"/>
                    <w:right w:val="single" w:color="auto" w:sz="4" w:space="0"/>
                  </w:tcBorders>
                  <w:noWrap w:val="0"/>
                  <w:vAlign w:val="center"/>
                </w:tcPr>
                <w:p w14:paraId="0B5E31E7">
                  <w:pPr>
                    <w:adjustRightInd w:val="0"/>
                    <w:snapToGrid w:val="0"/>
                    <w:jc w:val="center"/>
                    <w:rPr>
                      <w:rFonts w:hAnsi="宋体"/>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noWrap w:val="0"/>
                  <w:vAlign w:val="center"/>
                </w:tcPr>
                <w:p w14:paraId="63C2BA1B">
                  <w:pPr>
                    <w:adjustRightInd w:val="0"/>
                    <w:snapToGrid w:val="0"/>
                    <w:jc w:val="center"/>
                    <w:rPr>
                      <w:rFonts w:hAnsi="宋体"/>
                      <w:sz w:val="21"/>
                      <w:szCs w:val="21"/>
                      <w:highlight w:val="none"/>
                    </w:rPr>
                  </w:pPr>
                  <w:r>
                    <w:rPr>
                      <w:rFonts w:hint="eastAsia" w:hAnsi="宋体"/>
                      <w:sz w:val="21"/>
                      <w:szCs w:val="21"/>
                      <w:highlight w:val="none"/>
                    </w:rPr>
                    <w:t>水土流失治理</w:t>
                  </w:r>
                </w:p>
              </w:tc>
              <w:tc>
                <w:tcPr>
                  <w:tcW w:w="1589" w:type="pct"/>
                  <w:gridSpan w:val="2"/>
                  <w:tcBorders>
                    <w:top w:val="single" w:color="auto" w:sz="4" w:space="0"/>
                    <w:left w:val="single" w:color="auto" w:sz="4" w:space="0"/>
                    <w:bottom w:val="single" w:color="auto" w:sz="4" w:space="0"/>
                    <w:right w:val="nil"/>
                  </w:tcBorders>
                  <w:noWrap w:val="0"/>
                  <w:vAlign w:val="center"/>
                </w:tcPr>
                <w:p w14:paraId="54023CC6">
                  <w:pPr>
                    <w:adjustRightInd w:val="0"/>
                    <w:snapToGrid w:val="0"/>
                    <w:jc w:val="center"/>
                    <w:rPr>
                      <w:rFonts w:hint="eastAsia" w:hAnsi="宋体"/>
                      <w:sz w:val="21"/>
                      <w:szCs w:val="21"/>
                      <w:highlight w:val="none"/>
                    </w:rPr>
                  </w:pPr>
                  <w:r>
                    <w:rPr>
                      <w:rFonts w:hint="eastAsia"/>
                      <w:bCs/>
                      <w:sz w:val="21"/>
                      <w:szCs w:val="21"/>
                      <w:highlight w:val="none"/>
                    </w:rPr>
                    <w:t>限制施工作业带范围，不得超出项目占地范围</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36BC6CA1">
                  <w:pPr>
                    <w:adjustRightInd w:val="0"/>
                    <w:snapToGrid w:val="0"/>
                    <w:ind w:left="0" w:leftChars="0" w:right="0" w:rightChars="0"/>
                    <w:jc w:val="center"/>
                    <w:rPr>
                      <w:rFonts w:hint="eastAsia" w:ascii="宋体" w:hAnsi="宋体" w:eastAsia="宋体" w:cs="宋体"/>
                      <w:sz w:val="21"/>
                      <w:szCs w:val="21"/>
                      <w:highlight w:val="none"/>
                      <w:lang w:val="en-US" w:eastAsia="en-US" w:bidi="ar-SA"/>
                    </w:rPr>
                  </w:pPr>
                  <w:r>
                    <w:rPr>
                      <w:rFonts w:hint="eastAsia"/>
                      <w:bCs/>
                      <w:sz w:val="21"/>
                      <w:szCs w:val="21"/>
                      <w:highlight w:val="none"/>
                    </w:rPr>
                    <w:t>限制施工作业带范围，不得超出项目占地范围</w:t>
                  </w:r>
                </w:p>
              </w:tc>
              <w:tc>
                <w:tcPr>
                  <w:tcW w:w="395" w:type="pct"/>
                  <w:tcBorders>
                    <w:top w:val="single" w:color="auto" w:sz="4" w:space="0"/>
                    <w:left w:val="single" w:color="auto" w:sz="4" w:space="0"/>
                    <w:bottom w:val="single" w:color="auto" w:sz="4" w:space="0"/>
                    <w:right w:val="nil"/>
                  </w:tcBorders>
                  <w:noWrap w:val="0"/>
                  <w:vAlign w:val="center"/>
                </w:tcPr>
                <w:p w14:paraId="58CED756">
                  <w:pPr>
                    <w:adjustRightInd w:val="0"/>
                    <w:snapToGrid w:val="0"/>
                    <w:ind w:left="0" w:leftChars="0" w:right="0" w:rightChars="0"/>
                    <w:jc w:val="center"/>
                    <w:rPr>
                      <w:rFonts w:hint="eastAsia"/>
                      <w:bCs/>
                      <w:sz w:val="21"/>
                      <w:szCs w:val="21"/>
                      <w:highlight w:val="none"/>
                    </w:rPr>
                  </w:pPr>
                  <w:r>
                    <w:rPr>
                      <w:rFonts w:hint="eastAsia"/>
                      <w:sz w:val="21"/>
                      <w:szCs w:val="21"/>
                      <w:highlight w:val="none"/>
                      <w:lang w:val="en-US" w:eastAsia="zh-CN"/>
                    </w:rPr>
                    <w:t>是</w:t>
                  </w:r>
                </w:p>
              </w:tc>
            </w:tr>
            <w:tr w14:paraId="222DF7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continue"/>
                  <w:tcBorders>
                    <w:left w:val="nil"/>
                    <w:right w:val="single" w:color="auto" w:sz="4" w:space="0"/>
                  </w:tcBorders>
                  <w:noWrap w:val="0"/>
                  <w:vAlign w:val="center"/>
                </w:tcPr>
                <w:p w14:paraId="1C2E13A7">
                  <w:pPr>
                    <w:widowControl/>
                    <w:jc w:val="center"/>
                    <w:rPr>
                      <w:sz w:val="21"/>
                      <w:szCs w:val="21"/>
                      <w:highlight w:val="none"/>
                    </w:rPr>
                  </w:pPr>
                </w:p>
              </w:tc>
              <w:tc>
                <w:tcPr>
                  <w:tcW w:w="251" w:type="pct"/>
                  <w:vMerge w:val="restart"/>
                  <w:tcBorders>
                    <w:top w:val="single" w:color="auto" w:sz="4" w:space="0"/>
                    <w:left w:val="single" w:color="auto" w:sz="4" w:space="0"/>
                    <w:right w:val="single" w:color="auto" w:sz="4" w:space="0"/>
                  </w:tcBorders>
                  <w:noWrap w:val="0"/>
                  <w:vAlign w:val="center"/>
                </w:tcPr>
                <w:p w14:paraId="1F7F4575">
                  <w:pPr>
                    <w:adjustRightInd w:val="0"/>
                    <w:snapToGrid w:val="0"/>
                    <w:jc w:val="center"/>
                    <w:rPr>
                      <w:rFonts w:hAnsi="宋体"/>
                      <w:sz w:val="21"/>
                      <w:szCs w:val="21"/>
                      <w:highlight w:val="none"/>
                    </w:rPr>
                  </w:pPr>
                  <w:r>
                    <w:rPr>
                      <w:rFonts w:hint="eastAsia" w:hAnsi="宋体"/>
                      <w:sz w:val="21"/>
                      <w:szCs w:val="21"/>
                      <w:highlight w:val="none"/>
                    </w:rPr>
                    <w:t>运营期</w:t>
                  </w:r>
                </w:p>
              </w:tc>
              <w:tc>
                <w:tcPr>
                  <w:tcW w:w="432" w:type="pct"/>
                  <w:tcBorders>
                    <w:top w:val="single" w:color="auto" w:sz="4" w:space="0"/>
                    <w:left w:val="single" w:color="auto" w:sz="4" w:space="0"/>
                    <w:bottom w:val="single" w:color="auto" w:sz="4" w:space="0"/>
                    <w:right w:val="single" w:color="auto" w:sz="4" w:space="0"/>
                  </w:tcBorders>
                  <w:noWrap w:val="0"/>
                  <w:vAlign w:val="center"/>
                </w:tcPr>
                <w:p w14:paraId="71E65FCF">
                  <w:pPr>
                    <w:adjustRightInd w:val="0"/>
                    <w:snapToGrid w:val="0"/>
                    <w:jc w:val="center"/>
                    <w:rPr>
                      <w:sz w:val="21"/>
                      <w:szCs w:val="21"/>
                      <w:highlight w:val="none"/>
                    </w:rPr>
                  </w:pPr>
                  <w:r>
                    <w:rPr>
                      <w:rFonts w:hAnsi="宋体"/>
                      <w:sz w:val="21"/>
                      <w:szCs w:val="21"/>
                      <w:highlight w:val="none"/>
                    </w:rPr>
                    <w:t>废水治理</w:t>
                  </w:r>
                </w:p>
              </w:tc>
              <w:tc>
                <w:tcPr>
                  <w:tcW w:w="1589" w:type="pct"/>
                  <w:gridSpan w:val="2"/>
                  <w:tcBorders>
                    <w:top w:val="single" w:color="auto" w:sz="4" w:space="0"/>
                    <w:left w:val="single" w:color="auto" w:sz="4" w:space="0"/>
                    <w:bottom w:val="single" w:color="auto" w:sz="4" w:space="0"/>
                    <w:right w:val="nil"/>
                  </w:tcBorders>
                  <w:noWrap w:val="0"/>
                  <w:vAlign w:val="center"/>
                </w:tcPr>
                <w:p w14:paraId="657E7A9E">
                  <w:pPr>
                    <w:adjustRightInd w:val="0"/>
                    <w:snapToGrid w:val="0"/>
                    <w:jc w:val="center"/>
                    <w:rPr>
                      <w:sz w:val="21"/>
                      <w:szCs w:val="21"/>
                      <w:highlight w:val="none"/>
                    </w:rPr>
                  </w:pPr>
                  <w:r>
                    <w:rPr>
                      <w:rFonts w:hAnsi="宋体"/>
                      <w:sz w:val="21"/>
                      <w:szCs w:val="21"/>
                      <w:highlight w:val="none"/>
                    </w:rPr>
                    <w:t>无</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6A8C0F09">
                  <w:pPr>
                    <w:adjustRightInd w:val="0"/>
                    <w:snapToGrid w:val="0"/>
                    <w:ind w:left="0" w:leftChars="0" w:right="0" w:rightChars="0"/>
                    <w:jc w:val="center"/>
                    <w:rPr>
                      <w:rFonts w:ascii="宋体" w:hAnsi="宋体" w:eastAsia="宋体" w:cs="宋体"/>
                      <w:sz w:val="21"/>
                      <w:szCs w:val="21"/>
                      <w:highlight w:val="none"/>
                      <w:lang w:val="en-US" w:eastAsia="en-US" w:bidi="ar-SA"/>
                    </w:rPr>
                  </w:pPr>
                  <w:r>
                    <w:rPr>
                      <w:rFonts w:hAnsi="宋体"/>
                      <w:sz w:val="21"/>
                      <w:szCs w:val="21"/>
                      <w:highlight w:val="none"/>
                    </w:rPr>
                    <w:t>无</w:t>
                  </w:r>
                </w:p>
              </w:tc>
              <w:tc>
                <w:tcPr>
                  <w:tcW w:w="395" w:type="pct"/>
                  <w:tcBorders>
                    <w:top w:val="single" w:color="auto" w:sz="4" w:space="0"/>
                    <w:left w:val="single" w:color="auto" w:sz="4" w:space="0"/>
                    <w:bottom w:val="single" w:color="auto" w:sz="4" w:space="0"/>
                    <w:right w:val="nil"/>
                  </w:tcBorders>
                  <w:noWrap w:val="0"/>
                  <w:vAlign w:val="center"/>
                </w:tcPr>
                <w:p w14:paraId="56FDA362">
                  <w:pPr>
                    <w:adjustRightInd w:val="0"/>
                    <w:snapToGrid w:val="0"/>
                    <w:ind w:left="0" w:leftChars="0" w:right="0" w:rightChars="0"/>
                    <w:jc w:val="center"/>
                    <w:rPr>
                      <w:rFonts w:hAnsi="宋体"/>
                      <w:sz w:val="21"/>
                      <w:szCs w:val="21"/>
                      <w:highlight w:val="none"/>
                    </w:rPr>
                  </w:pPr>
                  <w:r>
                    <w:rPr>
                      <w:rFonts w:hint="eastAsia" w:hAnsi="宋体"/>
                      <w:sz w:val="21"/>
                      <w:szCs w:val="21"/>
                      <w:highlight w:val="none"/>
                      <w:lang w:val="en-US" w:eastAsia="zh-CN"/>
                    </w:rPr>
                    <w:t>是</w:t>
                  </w:r>
                </w:p>
              </w:tc>
            </w:tr>
            <w:tr w14:paraId="50E902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continue"/>
                  <w:tcBorders>
                    <w:left w:val="nil"/>
                    <w:right w:val="single" w:color="auto" w:sz="4" w:space="0"/>
                  </w:tcBorders>
                  <w:noWrap w:val="0"/>
                  <w:vAlign w:val="center"/>
                </w:tcPr>
                <w:p w14:paraId="7FC3015E">
                  <w:pPr>
                    <w:widowControl/>
                    <w:jc w:val="center"/>
                    <w:rPr>
                      <w:sz w:val="21"/>
                      <w:szCs w:val="21"/>
                      <w:highlight w:val="none"/>
                    </w:rPr>
                  </w:pPr>
                </w:p>
              </w:tc>
              <w:tc>
                <w:tcPr>
                  <w:tcW w:w="251" w:type="pct"/>
                  <w:vMerge w:val="continue"/>
                  <w:tcBorders>
                    <w:left w:val="single" w:color="auto" w:sz="4" w:space="0"/>
                    <w:right w:val="single" w:color="auto" w:sz="4" w:space="0"/>
                  </w:tcBorders>
                  <w:noWrap w:val="0"/>
                  <w:vAlign w:val="center"/>
                </w:tcPr>
                <w:p w14:paraId="7AF24B19">
                  <w:pPr>
                    <w:adjustRightInd w:val="0"/>
                    <w:snapToGrid w:val="0"/>
                    <w:jc w:val="center"/>
                    <w:rPr>
                      <w:rFonts w:hAnsi="宋体"/>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noWrap w:val="0"/>
                  <w:vAlign w:val="center"/>
                </w:tcPr>
                <w:p w14:paraId="2044A6D2">
                  <w:pPr>
                    <w:adjustRightInd w:val="0"/>
                    <w:snapToGrid w:val="0"/>
                    <w:jc w:val="center"/>
                    <w:rPr>
                      <w:sz w:val="21"/>
                      <w:szCs w:val="21"/>
                      <w:highlight w:val="none"/>
                    </w:rPr>
                  </w:pPr>
                  <w:r>
                    <w:rPr>
                      <w:rFonts w:hAnsi="宋体"/>
                      <w:sz w:val="21"/>
                      <w:szCs w:val="21"/>
                      <w:highlight w:val="none"/>
                    </w:rPr>
                    <w:t>噪声治理</w:t>
                  </w:r>
                </w:p>
              </w:tc>
              <w:tc>
                <w:tcPr>
                  <w:tcW w:w="1589" w:type="pct"/>
                  <w:gridSpan w:val="2"/>
                  <w:tcBorders>
                    <w:top w:val="single" w:color="auto" w:sz="4" w:space="0"/>
                    <w:left w:val="single" w:color="auto" w:sz="4" w:space="0"/>
                    <w:bottom w:val="single" w:color="auto" w:sz="4" w:space="0"/>
                    <w:right w:val="nil"/>
                  </w:tcBorders>
                  <w:noWrap w:val="0"/>
                  <w:vAlign w:val="center"/>
                </w:tcPr>
                <w:p w14:paraId="122128AE">
                  <w:pPr>
                    <w:jc w:val="center"/>
                    <w:rPr>
                      <w:sz w:val="21"/>
                      <w:szCs w:val="21"/>
                      <w:highlight w:val="none"/>
                    </w:rPr>
                  </w:pPr>
                  <w:r>
                    <w:rPr>
                      <w:rFonts w:hAnsi="宋体"/>
                      <w:sz w:val="21"/>
                      <w:szCs w:val="21"/>
                      <w:highlight w:val="none"/>
                    </w:rPr>
                    <w:t>单独设备房、基础减振等措施</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5331CB99">
                  <w:pPr>
                    <w:ind w:left="0" w:leftChars="0" w:right="0" w:rightChars="0"/>
                    <w:jc w:val="center"/>
                    <w:rPr>
                      <w:rFonts w:ascii="宋体" w:hAnsi="宋体" w:eastAsia="宋体" w:cs="宋体"/>
                      <w:sz w:val="21"/>
                      <w:szCs w:val="21"/>
                      <w:highlight w:val="none"/>
                      <w:lang w:val="en-US" w:eastAsia="en-US" w:bidi="ar-SA"/>
                    </w:rPr>
                  </w:pPr>
                  <w:r>
                    <w:rPr>
                      <w:rFonts w:hAnsi="宋体"/>
                      <w:sz w:val="21"/>
                      <w:szCs w:val="21"/>
                      <w:highlight w:val="none"/>
                    </w:rPr>
                    <w:t>单独设备房、基础减振等措施</w:t>
                  </w:r>
                </w:p>
              </w:tc>
              <w:tc>
                <w:tcPr>
                  <w:tcW w:w="395" w:type="pct"/>
                  <w:tcBorders>
                    <w:top w:val="single" w:color="auto" w:sz="4" w:space="0"/>
                    <w:left w:val="single" w:color="auto" w:sz="4" w:space="0"/>
                    <w:bottom w:val="single" w:color="auto" w:sz="4" w:space="0"/>
                    <w:right w:val="nil"/>
                  </w:tcBorders>
                  <w:noWrap w:val="0"/>
                  <w:vAlign w:val="center"/>
                </w:tcPr>
                <w:p w14:paraId="5F4A7C6A">
                  <w:pPr>
                    <w:adjustRightInd w:val="0"/>
                    <w:snapToGrid w:val="0"/>
                    <w:ind w:left="0" w:leftChars="0" w:right="0" w:rightChars="0"/>
                    <w:jc w:val="center"/>
                    <w:rPr>
                      <w:rFonts w:hAnsi="宋体"/>
                      <w:sz w:val="21"/>
                      <w:szCs w:val="21"/>
                      <w:highlight w:val="none"/>
                    </w:rPr>
                  </w:pPr>
                  <w:r>
                    <w:rPr>
                      <w:rFonts w:hint="eastAsia"/>
                      <w:sz w:val="21"/>
                      <w:szCs w:val="21"/>
                      <w:highlight w:val="none"/>
                      <w:lang w:val="en-US" w:eastAsia="zh-CN"/>
                    </w:rPr>
                    <w:t>是</w:t>
                  </w:r>
                </w:p>
              </w:tc>
            </w:tr>
            <w:tr w14:paraId="13CBED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continue"/>
                  <w:tcBorders>
                    <w:left w:val="nil"/>
                    <w:right w:val="single" w:color="auto" w:sz="4" w:space="0"/>
                  </w:tcBorders>
                  <w:noWrap w:val="0"/>
                  <w:vAlign w:val="center"/>
                </w:tcPr>
                <w:p w14:paraId="6F9880C8">
                  <w:pPr>
                    <w:widowControl/>
                    <w:jc w:val="center"/>
                    <w:rPr>
                      <w:sz w:val="21"/>
                      <w:szCs w:val="21"/>
                      <w:highlight w:val="none"/>
                    </w:rPr>
                  </w:pPr>
                </w:p>
              </w:tc>
              <w:tc>
                <w:tcPr>
                  <w:tcW w:w="251" w:type="pct"/>
                  <w:vMerge w:val="continue"/>
                  <w:tcBorders>
                    <w:left w:val="single" w:color="auto" w:sz="4" w:space="0"/>
                    <w:right w:val="single" w:color="auto" w:sz="4" w:space="0"/>
                  </w:tcBorders>
                  <w:noWrap w:val="0"/>
                  <w:vAlign w:val="center"/>
                </w:tcPr>
                <w:p w14:paraId="3107DDFF">
                  <w:pPr>
                    <w:adjustRightInd w:val="0"/>
                    <w:snapToGrid w:val="0"/>
                    <w:jc w:val="center"/>
                    <w:rPr>
                      <w:rFonts w:hAnsi="宋体"/>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noWrap w:val="0"/>
                  <w:vAlign w:val="center"/>
                </w:tcPr>
                <w:p w14:paraId="7C33B1D9">
                  <w:pPr>
                    <w:adjustRightInd w:val="0"/>
                    <w:snapToGrid w:val="0"/>
                    <w:jc w:val="center"/>
                    <w:rPr>
                      <w:sz w:val="21"/>
                      <w:szCs w:val="21"/>
                      <w:highlight w:val="none"/>
                    </w:rPr>
                  </w:pPr>
                  <w:r>
                    <w:rPr>
                      <w:rFonts w:hAnsi="宋体"/>
                      <w:sz w:val="21"/>
                      <w:szCs w:val="21"/>
                      <w:highlight w:val="none"/>
                    </w:rPr>
                    <w:t>固废</w:t>
                  </w:r>
                </w:p>
              </w:tc>
              <w:tc>
                <w:tcPr>
                  <w:tcW w:w="1589" w:type="pct"/>
                  <w:gridSpan w:val="2"/>
                  <w:tcBorders>
                    <w:top w:val="single" w:color="auto" w:sz="4" w:space="0"/>
                    <w:left w:val="single" w:color="auto" w:sz="4" w:space="0"/>
                    <w:bottom w:val="single" w:color="auto" w:sz="4" w:space="0"/>
                    <w:right w:val="nil"/>
                  </w:tcBorders>
                  <w:noWrap w:val="0"/>
                  <w:vAlign w:val="center"/>
                </w:tcPr>
                <w:p w14:paraId="19F9AAE3">
                  <w:pPr>
                    <w:jc w:val="center"/>
                    <w:rPr>
                      <w:sz w:val="21"/>
                      <w:szCs w:val="21"/>
                      <w:highlight w:val="none"/>
                    </w:rPr>
                  </w:pPr>
                  <w:r>
                    <w:rPr>
                      <w:rFonts w:hAnsi="宋体"/>
                      <w:sz w:val="21"/>
                      <w:szCs w:val="21"/>
                      <w:highlight w:val="none"/>
                    </w:rPr>
                    <w:t>无</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02B29B84">
                  <w:pPr>
                    <w:ind w:left="0" w:leftChars="0" w:right="0" w:rightChars="0"/>
                    <w:jc w:val="center"/>
                    <w:rPr>
                      <w:rFonts w:ascii="宋体" w:hAnsi="宋体" w:eastAsia="宋体" w:cs="宋体"/>
                      <w:sz w:val="21"/>
                      <w:szCs w:val="21"/>
                      <w:highlight w:val="none"/>
                      <w:lang w:val="en-US" w:eastAsia="en-US" w:bidi="ar-SA"/>
                    </w:rPr>
                  </w:pPr>
                  <w:r>
                    <w:rPr>
                      <w:rFonts w:hAnsi="宋体"/>
                      <w:sz w:val="21"/>
                      <w:szCs w:val="21"/>
                      <w:highlight w:val="none"/>
                    </w:rPr>
                    <w:t>无</w:t>
                  </w:r>
                </w:p>
              </w:tc>
              <w:tc>
                <w:tcPr>
                  <w:tcW w:w="395" w:type="pct"/>
                  <w:tcBorders>
                    <w:top w:val="single" w:color="auto" w:sz="4" w:space="0"/>
                    <w:left w:val="single" w:color="auto" w:sz="4" w:space="0"/>
                    <w:bottom w:val="single" w:color="auto" w:sz="4" w:space="0"/>
                    <w:right w:val="nil"/>
                  </w:tcBorders>
                  <w:noWrap w:val="0"/>
                  <w:vAlign w:val="center"/>
                </w:tcPr>
                <w:p w14:paraId="70238B7E">
                  <w:pPr>
                    <w:adjustRightInd w:val="0"/>
                    <w:snapToGrid w:val="0"/>
                    <w:ind w:left="0" w:leftChars="0" w:right="0" w:rightChars="0"/>
                    <w:jc w:val="center"/>
                    <w:rPr>
                      <w:rFonts w:hAnsi="宋体"/>
                      <w:sz w:val="21"/>
                      <w:szCs w:val="21"/>
                      <w:highlight w:val="none"/>
                    </w:rPr>
                  </w:pPr>
                  <w:r>
                    <w:rPr>
                      <w:rFonts w:hint="eastAsia" w:hAnsi="宋体"/>
                      <w:sz w:val="21"/>
                      <w:szCs w:val="21"/>
                      <w:highlight w:val="none"/>
                      <w:lang w:val="en-US" w:eastAsia="zh-CN"/>
                    </w:rPr>
                    <w:t>是</w:t>
                  </w:r>
                </w:p>
              </w:tc>
            </w:tr>
            <w:tr w14:paraId="2A1D32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pct"/>
                  <w:vMerge w:val="continue"/>
                  <w:tcBorders>
                    <w:left w:val="nil"/>
                    <w:bottom w:val="single" w:color="auto" w:sz="4" w:space="0"/>
                    <w:right w:val="single" w:color="auto" w:sz="4" w:space="0"/>
                  </w:tcBorders>
                  <w:noWrap w:val="0"/>
                  <w:vAlign w:val="center"/>
                </w:tcPr>
                <w:p w14:paraId="18A81A05">
                  <w:pPr>
                    <w:widowControl/>
                    <w:jc w:val="center"/>
                    <w:rPr>
                      <w:sz w:val="21"/>
                      <w:szCs w:val="21"/>
                      <w:highlight w:val="none"/>
                    </w:rPr>
                  </w:pPr>
                </w:p>
              </w:tc>
              <w:tc>
                <w:tcPr>
                  <w:tcW w:w="251" w:type="pct"/>
                  <w:vMerge w:val="continue"/>
                  <w:tcBorders>
                    <w:left w:val="single" w:color="auto" w:sz="4" w:space="0"/>
                    <w:bottom w:val="single" w:color="auto" w:sz="4" w:space="0"/>
                    <w:right w:val="single" w:color="auto" w:sz="4" w:space="0"/>
                  </w:tcBorders>
                  <w:noWrap w:val="0"/>
                  <w:vAlign w:val="center"/>
                </w:tcPr>
                <w:p w14:paraId="3661E9E0">
                  <w:pPr>
                    <w:adjustRightInd w:val="0"/>
                    <w:snapToGrid w:val="0"/>
                    <w:jc w:val="center"/>
                    <w:rPr>
                      <w:rFonts w:hAnsi="宋体"/>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noWrap w:val="0"/>
                  <w:vAlign w:val="center"/>
                </w:tcPr>
                <w:p w14:paraId="01DF685A">
                  <w:pPr>
                    <w:adjustRightInd w:val="0"/>
                    <w:snapToGrid w:val="0"/>
                    <w:jc w:val="center"/>
                    <w:rPr>
                      <w:sz w:val="21"/>
                      <w:szCs w:val="21"/>
                      <w:highlight w:val="none"/>
                    </w:rPr>
                  </w:pPr>
                  <w:r>
                    <w:rPr>
                      <w:rFonts w:hAnsi="宋体"/>
                      <w:sz w:val="21"/>
                      <w:szCs w:val="21"/>
                      <w:highlight w:val="none"/>
                    </w:rPr>
                    <w:t>废气治理</w:t>
                  </w:r>
                </w:p>
              </w:tc>
              <w:tc>
                <w:tcPr>
                  <w:tcW w:w="1589" w:type="pct"/>
                  <w:gridSpan w:val="2"/>
                  <w:tcBorders>
                    <w:top w:val="single" w:color="auto" w:sz="4" w:space="0"/>
                    <w:left w:val="single" w:color="auto" w:sz="4" w:space="0"/>
                    <w:bottom w:val="single" w:color="auto" w:sz="4" w:space="0"/>
                    <w:right w:val="nil"/>
                  </w:tcBorders>
                  <w:noWrap w:val="0"/>
                  <w:vAlign w:val="center"/>
                </w:tcPr>
                <w:p w14:paraId="10880E9E">
                  <w:pPr>
                    <w:jc w:val="center"/>
                    <w:rPr>
                      <w:sz w:val="21"/>
                      <w:szCs w:val="21"/>
                      <w:highlight w:val="none"/>
                    </w:rPr>
                  </w:pPr>
                  <w:r>
                    <w:rPr>
                      <w:rFonts w:hAnsi="宋体"/>
                      <w:sz w:val="21"/>
                      <w:szCs w:val="21"/>
                      <w:highlight w:val="none"/>
                    </w:rPr>
                    <w:t>无</w:t>
                  </w:r>
                </w:p>
              </w:tc>
              <w:tc>
                <w:tcPr>
                  <w:tcW w:w="1843" w:type="pct"/>
                  <w:gridSpan w:val="2"/>
                  <w:tcBorders>
                    <w:top w:val="single" w:color="auto" w:sz="4" w:space="0"/>
                    <w:left w:val="single" w:color="auto" w:sz="4" w:space="0"/>
                    <w:bottom w:val="single" w:color="auto" w:sz="4" w:space="0"/>
                    <w:right w:val="nil"/>
                  </w:tcBorders>
                  <w:shd w:val="clear" w:color="auto" w:fill="auto"/>
                  <w:noWrap w:val="0"/>
                  <w:vAlign w:val="center"/>
                </w:tcPr>
                <w:p w14:paraId="5C7CC17F">
                  <w:pPr>
                    <w:ind w:left="0" w:leftChars="0" w:right="0" w:rightChars="0"/>
                    <w:jc w:val="center"/>
                    <w:rPr>
                      <w:rFonts w:ascii="宋体" w:hAnsi="宋体" w:eastAsia="宋体" w:cs="宋体"/>
                      <w:sz w:val="21"/>
                      <w:szCs w:val="21"/>
                      <w:highlight w:val="none"/>
                      <w:lang w:val="en-US" w:eastAsia="en-US" w:bidi="ar-SA"/>
                    </w:rPr>
                  </w:pPr>
                  <w:r>
                    <w:rPr>
                      <w:rFonts w:hAnsi="宋体"/>
                      <w:sz w:val="21"/>
                      <w:szCs w:val="21"/>
                      <w:highlight w:val="none"/>
                    </w:rPr>
                    <w:t>无</w:t>
                  </w:r>
                </w:p>
              </w:tc>
              <w:tc>
                <w:tcPr>
                  <w:tcW w:w="395" w:type="pct"/>
                  <w:tcBorders>
                    <w:top w:val="single" w:color="auto" w:sz="4" w:space="0"/>
                    <w:left w:val="single" w:color="auto" w:sz="4" w:space="0"/>
                    <w:bottom w:val="single" w:color="auto" w:sz="4" w:space="0"/>
                    <w:right w:val="nil"/>
                  </w:tcBorders>
                  <w:noWrap w:val="0"/>
                  <w:vAlign w:val="center"/>
                </w:tcPr>
                <w:p w14:paraId="0FE87E9C">
                  <w:pPr>
                    <w:adjustRightInd w:val="0"/>
                    <w:snapToGrid w:val="0"/>
                    <w:ind w:left="0" w:leftChars="0" w:right="0" w:rightChars="0"/>
                    <w:jc w:val="center"/>
                    <w:rPr>
                      <w:rFonts w:hAnsi="宋体"/>
                      <w:sz w:val="21"/>
                      <w:szCs w:val="21"/>
                      <w:highlight w:val="none"/>
                    </w:rPr>
                  </w:pPr>
                  <w:r>
                    <w:rPr>
                      <w:rFonts w:hint="eastAsia"/>
                      <w:sz w:val="21"/>
                      <w:szCs w:val="21"/>
                      <w:highlight w:val="none"/>
                      <w:lang w:val="en-US" w:eastAsia="zh-CN"/>
                    </w:rPr>
                    <w:t>是</w:t>
                  </w:r>
                </w:p>
              </w:tc>
            </w:tr>
          </w:tbl>
          <w:p w14:paraId="7730214D">
            <w:pPr>
              <w:pStyle w:val="22"/>
              <w:tabs>
                <w:tab w:val="left" w:pos="1309"/>
              </w:tabs>
              <w:spacing w:before="172"/>
              <w:ind w:left="510"/>
              <w:jc w:val="center"/>
              <w:rPr>
                <w:b/>
                <w:sz w:val="24"/>
                <w:highlight w:val="none"/>
              </w:rPr>
            </w:pPr>
          </w:p>
        </w:tc>
      </w:tr>
    </w:tbl>
    <w:p w14:paraId="4D8A8897">
      <w:pPr>
        <w:spacing w:after="0"/>
        <w:rPr>
          <w:rFonts w:ascii="Times New Roman"/>
          <w:sz w:val="22"/>
          <w:highlight w:val="none"/>
        </w:rPr>
        <w:sectPr>
          <w:footerReference r:id="rId6" w:type="default"/>
          <w:pgSz w:w="11910" w:h="16840"/>
          <w:pgMar w:top="1400" w:right="1440" w:bottom="1340" w:left="1580" w:header="0" w:footer="1160" w:gutter="0"/>
          <w:cols w:space="720" w:num="1"/>
        </w:sectPr>
      </w:pPr>
    </w:p>
    <w:tbl>
      <w:tblPr>
        <w:tblStyle w:val="10"/>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778"/>
      </w:tblGrid>
      <w:tr w14:paraId="57C87C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05" w:hRule="atLeast"/>
        </w:trPr>
        <w:tc>
          <w:tcPr>
            <w:tcW w:w="8521" w:type="dxa"/>
            <w:tcBorders>
              <w:top w:val="single" w:color="000000" w:sz="4" w:space="0"/>
              <w:bottom w:val="single" w:color="000000" w:sz="4" w:space="0"/>
            </w:tcBorders>
          </w:tcPr>
          <w:p w14:paraId="0CFCD963">
            <w:pPr>
              <w:pStyle w:val="22"/>
              <w:spacing w:before="145"/>
              <w:ind w:left="575"/>
              <w:rPr>
                <w:sz w:val="24"/>
                <w:highlight w:val="none"/>
              </w:rPr>
            </w:pPr>
            <w:r>
              <w:rPr>
                <w:rFonts w:ascii="Times New Roman" w:eastAsia="Times New Roman"/>
                <w:sz w:val="24"/>
                <w:highlight w:val="none"/>
              </w:rPr>
              <w:t>2</w:t>
            </w:r>
            <w:r>
              <w:rPr>
                <w:sz w:val="24"/>
                <w:highlight w:val="none"/>
              </w:rPr>
              <w:t>、项目主要设备</w:t>
            </w:r>
          </w:p>
          <w:p w14:paraId="7FC1DCB7">
            <w:pPr>
              <w:pStyle w:val="22"/>
              <w:spacing w:before="172"/>
              <w:ind w:left="575"/>
              <w:rPr>
                <w:sz w:val="24"/>
                <w:highlight w:val="none"/>
              </w:rPr>
            </w:pPr>
            <w:r>
              <w:rPr>
                <w:sz w:val="24"/>
                <w:highlight w:val="none"/>
              </w:rPr>
              <w:t>项目主要设备见下表。</w:t>
            </w:r>
          </w:p>
          <w:p w14:paraId="471E15A8">
            <w:pPr>
              <w:pStyle w:val="22"/>
              <w:tabs>
                <w:tab w:val="left" w:pos="1309"/>
              </w:tabs>
              <w:spacing w:before="173"/>
              <w:ind w:left="510"/>
              <w:jc w:val="center"/>
              <w:rPr>
                <w:b/>
                <w:sz w:val="24"/>
                <w:highlight w:val="none"/>
              </w:rPr>
            </w:pPr>
            <w:r>
              <w:rPr>
                <w:b/>
                <w:sz w:val="24"/>
                <w:highlight w:val="none"/>
              </w:rPr>
              <w:t>表</w:t>
            </w:r>
            <w:r>
              <w:rPr>
                <w:rFonts w:ascii="Times New Roman" w:eastAsia="Times New Roman"/>
                <w:b/>
                <w:sz w:val="24"/>
                <w:highlight w:val="none"/>
              </w:rPr>
              <w:t>4-2</w:t>
            </w:r>
            <w:r>
              <w:rPr>
                <w:rFonts w:ascii="Times New Roman" w:eastAsia="Times New Roman"/>
                <w:b/>
                <w:sz w:val="24"/>
                <w:highlight w:val="none"/>
              </w:rPr>
              <w:tab/>
            </w:r>
            <w:r>
              <w:rPr>
                <w:b/>
                <w:sz w:val="24"/>
                <w:highlight w:val="none"/>
              </w:rPr>
              <w:t>光伏发电主要设备一览表</w:t>
            </w:r>
          </w:p>
          <w:tbl>
            <w:tblPr>
              <w:tblStyle w:val="10"/>
              <w:tblW w:w="8753" w:type="dxa"/>
              <w:tblInd w:w="0" w:type="dxa"/>
              <w:tblLayout w:type="autofit"/>
              <w:tblCellMar>
                <w:top w:w="0" w:type="dxa"/>
                <w:left w:w="108" w:type="dxa"/>
                <w:bottom w:w="0" w:type="dxa"/>
                <w:right w:w="108" w:type="dxa"/>
              </w:tblCellMar>
            </w:tblPr>
            <w:tblGrid>
              <w:gridCol w:w="612"/>
              <w:gridCol w:w="1207"/>
              <w:gridCol w:w="2696"/>
              <w:gridCol w:w="613"/>
              <w:gridCol w:w="1010"/>
              <w:gridCol w:w="1010"/>
              <w:gridCol w:w="1605"/>
            </w:tblGrid>
            <w:tr w14:paraId="3EC08C55">
              <w:tblPrEx>
                <w:tblCellMar>
                  <w:top w:w="0" w:type="dxa"/>
                  <w:left w:w="108" w:type="dxa"/>
                  <w:bottom w:w="0" w:type="dxa"/>
                  <w:right w:w="108" w:type="dxa"/>
                </w:tblCellMar>
              </w:tblPrEx>
              <w:trPr>
                <w:trHeight w:val="140" w:hRule="atLeast"/>
              </w:trPr>
              <w:tc>
                <w:tcPr>
                  <w:tcW w:w="349" w:type="pct"/>
                  <w:vMerge w:val="restart"/>
                  <w:tcBorders>
                    <w:top w:val="single" w:color="auto" w:sz="4" w:space="0"/>
                    <w:left w:val="single" w:color="auto" w:sz="4" w:space="0"/>
                    <w:right w:val="single" w:color="auto" w:sz="4" w:space="0"/>
                  </w:tcBorders>
                  <w:noWrap/>
                  <w:vAlign w:val="center"/>
                </w:tcPr>
                <w:p w14:paraId="57CF968D">
                  <w:pPr>
                    <w:jc w:val="center"/>
                    <w:rPr>
                      <w:color w:val="000000"/>
                      <w:szCs w:val="21"/>
                      <w:highlight w:val="none"/>
                    </w:rPr>
                  </w:pPr>
                  <w:r>
                    <w:rPr>
                      <w:rFonts w:hAnsi="宋体"/>
                      <w:color w:val="000000"/>
                      <w:szCs w:val="21"/>
                      <w:highlight w:val="none"/>
                    </w:rPr>
                    <w:t>序号</w:t>
                  </w:r>
                </w:p>
              </w:tc>
              <w:tc>
                <w:tcPr>
                  <w:tcW w:w="689" w:type="pct"/>
                  <w:vMerge w:val="restart"/>
                  <w:tcBorders>
                    <w:top w:val="single" w:color="auto" w:sz="4" w:space="0"/>
                    <w:left w:val="nil"/>
                    <w:right w:val="single" w:color="auto" w:sz="4" w:space="0"/>
                  </w:tcBorders>
                  <w:noWrap/>
                  <w:vAlign w:val="center"/>
                </w:tcPr>
                <w:p w14:paraId="72869F64">
                  <w:pPr>
                    <w:jc w:val="center"/>
                    <w:rPr>
                      <w:color w:val="000000"/>
                      <w:szCs w:val="21"/>
                      <w:highlight w:val="none"/>
                    </w:rPr>
                  </w:pPr>
                  <w:r>
                    <w:rPr>
                      <w:rFonts w:hAnsi="宋体"/>
                      <w:color w:val="000000"/>
                      <w:szCs w:val="21"/>
                      <w:highlight w:val="none"/>
                    </w:rPr>
                    <w:t>设备名称</w:t>
                  </w:r>
                </w:p>
              </w:tc>
              <w:tc>
                <w:tcPr>
                  <w:tcW w:w="1540" w:type="pct"/>
                  <w:vMerge w:val="restart"/>
                  <w:tcBorders>
                    <w:top w:val="single" w:color="auto" w:sz="4" w:space="0"/>
                    <w:left w:val="nil"/>
                    <w:right w:val="single" w:color="auto" w:sz="4" w:space="0"/>
                  </w:tcBorders>
                  <w:noWrap/>
                  <w:vAlign w:val="center"/>
                </w:tcPr>
                <w:p w14:paraId="7C895005">
                  <w:pPr>
                    <w:jc w:val="center"/>
                    <w:rPr>
                      <w:color w:val="000000"/>
                      <w:szCs w:val="21"/>
                      <w:highlight w:val="none"/>
                    </w:rPr>
                  </w:pPr>
                  <w:r>
                    <w:rPr>
                      <w:rFonts w:hAnsi="宋体"/>
                      <w:color w:val="000000"/>
                      <w:szCs w:val="21"/>
                      <w:highlight w:val="none"/>
                    </w:rPr>
                    <w:t>型号</w:t>
                  </w:r>
                </w:p>
              </w:tc>
              <w:tc>
                <w:tcPr>
                  <w:tcW w:w="350" w:type="pct"/>
                  <w:vMerge w:val="restart"/>
                  <w:tcBorders>
                    <w:top w:val="single" w:color="auto" w:sz="4" w:space="0"/>
                    <w:left w:val="nil"/>
                    <w:right w:val="single" w:color="auto" w:sz="4" w:space="0"/>
                  </w:tcBorders>
                  <w:noWrap/>
                  <w:vAlign w:val="center"/>
                </w:tcPr>
                <w:p w14:paraId="00F86433">
                  <w:pPr>
                    <w:jc w:val="center"/>
                    <w:rPr>
                      <w:color w:val="000000"/>
                      <w:szCs w:val="21"/>
                      <w:highlight w:val="none"/>
                    </w:rPr>
                  </w:pPr>
                  <w:r>
                    <w:rPr>
                      <w:rFonts w:hAnsi="宋体"/>
                      <w:color w:val="000000"/>
                      <w:szCs w:val="21"/>
                      <w:highlight w:val="none"/>
                    </w:rPr>
                    <w:t>单位</w:t>
                  </w:r>
                </w:p>
              </w:tc>
              <w:tc>
                <w:tcPr>
                  <w:tcW w:w="1153" w:type="pct"/>
                  <w:gridSpan w:val="2"/>
                  <w:tcBorders>
                    <w:top w:val="single" w:color="auto" w:sz="4" w:space="0"/>
                    <w:left w:val="nil"/>
                    <w:bottom w:val="single" w:color="auto" w:sz="4" w:space="0"/>
                    <w:right w:val="single" w:color="auto" w:sz="4" w:space="0"/>
                  </w:tcBorders>
                  <w:shd w:val="clear" w:color="auto" w:fill="auto"/>
                  <w:noWrap/>
                  <w:vAlign w:val="center"/>
                </w:tcPr>
                <w:p w14:paraId="2E996862">
                  <w:pPr>
                    <w:jc w:val="center"/>
                    <w:rPr>
                      <w:rFonts w:hAnsi="宋体"/>
                      <w:color w:val="000000"/>
                      <w:szCs w:val="21"/>
                      <w:highlight w:val="none"/>
                    </w:rPr>
                  </w:pPr>
                  <w:r>
                    <w:rPr>
                      <w:rFonts w:hAnsi="宋体"/>
                      <w:color w:val="000000"/>
                      <w:szCs w:val="21"/>
                      <w:highlight w:val="none"/>
                    </w:rPr>
                    <w:t>数量</w:t>
                  </w:r>
                </w:p>
              </w:tc>
              <w:tc>
                <w:tcPr>
                  <w:tcW w:w="916" w:type="pct"/>
                  <w:vMerge w:val="restart"/>
                  <w:tcBorders>
                    <w:top w:val="single" w:color="auto" w:sz="4" w:space="0"/>
                    <w:left w:val="nil"/>
                    <w:right w:val="single" w:color="auto" w:sz="4" w:space="0"/>
                  </w:tcBorders>
                  <w:noWrap/>
                  <w:vAlign w:val="center"/>
                </w:tcPr>
                <w:p w14:paraId="6328FF60">
                  <w:pPr>
                    <w:jc w:val="center"/>
                    <w:rPr>
                      <w:rFonts w:hint="default" w:hAnsi="宋体" w:eastAsia="宋体"/>
                      <w:color w:val="000000"/>
                      <w:szCs w:val="21"/>
                      <w:highlight w:val="none"/>
                      <w:lang w:val="en-US" w:eastAsia="zh-CN"/>
                    </w:rPr>
                  </w:pPr>
                  <w:r>
                    <w:rPr>
                      <w:rFonts w:hint="eastAsia" w:hAnsi="宋体"/>
                      <w:color w:val="000000"/>
                      <w:szCs w:val="21"/>
                      <w:highlight w:val="none"/>
                      <w:lang w:val="en-US" w:eastAsia="zh-CN"/>
                    </w:rPr>
                    <w:t>是否瑜环评一致</w:t>
                  </w:r>
                </w:p>
              </w:tc>
            </w:tr>
            <w:tr w14:paraId="551B730F">
              <w:tblPrEx>
                <w:tblCellMar>
                  <w:top w:w="0" w:type="dxa"/>
                  <w:left w:w="108" w:type="dxa"/>
                  <w:bottom w:w="0" w:type="dxa"/>
                  <w:right w:w="108" w:type="dxa"/>
                </w:tblCellMar>
              </w:tblPrEx>
              <w:trPr>
                <w:trHeight w:val="140" w:hRule="atLeast"/>
              </w:trPr>
              <w:tc>
                <w:tcPr>
                  <w:tcW w:w="349" w:type="pct"/>
                  <w:vMerge w:val="continue"/>
                  <w:tcBorders>
                    <w:left w:val="single" w:color="auto" w:sz="4" w:space="0"/>
                    <w:bottom w:val="single" w:color="auto" w:sz="4" w:space="0"/>
                    <w:right w:val="single" w:color="auto" w:sz="4" w:space="0"/>
                  </w:tcBorders>
                  <w:noWrap/>
                  <w:vAlign w:val="center"/>
                </w:tcPr>
                <w:p w14:paraId="6F6337B8">
                  <w:pPr>
                    <w:ind w:left="0" w:leftChars="0" w:right="0" w:rightChars="0"/>
                    <w:jc w:val="center"/>
                    <w:rPr>
                      <w:highlight w:val="none"/>
                    </w:rPr>
                  </w:pPr>
                </w:p>
              </w:tc>
              <w:tc>
                <w:tcPr>
                  <w:tcW w:w="689" w:type="pct"/>
                  <w:vMerge w:val="continue"/>
                  <w:tcBorders>
                    <w:left w:val="nil"/>
                    <w:bottom w:val="single" w:color="auto" w:sz="4" w:space="0"/>
                    <w:right w:val="single" w:color="auto" w:sz="4" w:space="0"/>
                  </w:tcBorders>
                  <w:noWrap/>
                  <w:vAlign w:val="center"/>
                </w:tcPr>
                <w:p w14:paraId="518CDF8F">
                  <w:pPr>
                    <w:ind w:left="0" w:leftChars="0" w:right="0" w:rightChars="0"/>
                    <w:jc w:val="center"/>
                    <w:rPr>
                      <w:highlight w:val="none"/>
                    </w:rPr>
                  </w:pPr>
                </w:p>
              </w:tc>
              <w:tc>
                <w:tcPr>
                  <w:tcW w:w="1540" w:type="pct"/>
                  <w:vMerge w:val="continue"/>
                  <w:tcBorders>
                    <w:left w:val="nil"/>
                    <w:bottom w:val="single" w:color="auto" w:sz="4" w:space="0"/>
                    <w:right w:val="single" w:color="auto" w:sz="4" w:space="0"/>
                  </w:tcBorders>
                  <w:noWrap/>
                  <w:vAlign w:val="center"/>
                </w:tcPr>
                <w:p w14:paraId="1B4C0C0E">
                  <w:pPr>
                    <w:ind w:left="0" w:leftChars="0" w:right="0" w:rightChars="0"/>
                    <w:jc w:val="center"/>
                    <w:rPr>
                      <w:highlight w:val="none"/>
                    </w:rPr>
                  </w:pPr>
                </w:p>
              </w:tc>
              <w:tc>
                <w:tcPr>
                  <w:tcW w:w="350" w:type="pct"/>
                  <w:vMerge w:val="continue"/>
                  <w:tcBorders>
                    <w:left w:val="nil"/>
                    <w:bottom w:val="single" w:color="auto" w:sz="4" w:space="0"/>
                    <w:right w:val="single" w:color="auto" w:sz="4" w:space="0"/>
                  </w:tcBorders>
                  <w:noWrap/>
                  <w:vAlign w:val="center"/>
                </w:tcPr>
                <w:p w14:paraId="75D6ADAB">
                  <w:pPr>
                    <w:ind w:left="0" w:leftChars="0" w:right="0" w:rightChars="0"/>
                    <w:jc w:val="center"/>
                    <w:rPr>
                      <w:highlight w:val="none"/>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644BE594">
                  <w:pPr>
                    <w:ind w:left="0" w:leftChars="0" w:right="0" w:rightChars="0"/>
                    <w:jc w:val="center"/>
                    <w:rPr>
                      <w:rFonts w:hint="default" w:hAnsi="宋体" w:eastAsia="宋体"/>
                      <w:color w:val="000000"/>
                      <w:szCs w:val="21"/>
                      <w:highlight w:val="none"/>
                      <w:lang w:val="en-US" w:eastAsia="zh-CN"/>
                    </w:rPr>
                  </w:pPr>
                  <w:r>
                    <w:rPr>
                      <w:rFonts w:hint="eastAsia" w:hAnsi="宋体"/>
                      <w:color w:val="000000"/>
                      <w:szCs w:val="21"/>
                      <w:highlight w:val="none"/>
                      <w:lang w:val="en-US" w:eastAsia="zh-CN"/>
                    </w:rPr>
                    <w:t>环评审批</w:t>
                  </w:r>
                </w:p>
              </w:tc>
              <w:tc>
                <w:tcPr>
                  <w:tcW w:w="576" w:type="pct"/>
                  <w:tcBorders>
                    <w:left w:val="nil"/>
                    <w:bottom w:val="single" w:color="auto" w:sz="4" w:space="0"/>
                    <w:right w:val="single" w:color="auto" w:sz="4" w:space="0"/>
                  </w:tcBorders>
                  <w:noWrap/>
                  <w:vAlign w:val="center"/>
                </w:tcPr>
                <w:p w14:paraId="582D3D07">
                  <w:pPr>
                    <w:ind w:left="0" w:leftChars="0" w:right="0" w:rightChars="0"/>
                    <w:jc w:val="center"/>
                    <w:rPr>
                      <w:rFonts w:hint="default" w:hAnsi="宋体" w:eastAsia="宋体"/>
                      <w:color w:val="000000"/>
                      <w:szCs w:val="21"/>
                      <w:highlight w:val="none"/>
                      <w:lang w:val="en-US" w:eastAsia="zh-CN"/>
                    </w:rPr>
                  </w:pPr>
                  <w:r>
                    <w:rPr>
                      <w:rFonts w:hint="eastAsia" w:hAnsi="宋体"/>
                      <w:color w:val="000000"/>
                      <w:szCs w:val="21"/>
                      <w:highlight w:val="none"/>
                      <w:lang w:val="en-US" w:eastAsia="zh-CN"/>
                    </w:rPr>
                    <w:t>实际建设</w:t>
                  </w:r>
                </w:p>
              </w:tc>
              <w:tc>
                <w:tcPr>
                  <w:tcW w:w="916" w:type="pct"/>
                  <w:vMerge w:val="continue"/>
                  <w:tcBorders>
                    <w:left w:val="nil"/>
                    <w:bottom w:val="single" w:color="auto" w:sz="4" w:space="0"/>
                    <w:right w:val="single" w:color="auto" w:sz="4" w:space="0"/>
                  </w:tcBorders>
                  <w:noWrap/>
                  <w:vAlign w:val="center"/>
                </w:tcPr>
                <w:p w14:paraId="42B8A7FA">
                  <w:pPr>
                    <w:ind w:left="0" w:leftChars="0" w:right="0" w:rightChars="0"/>
                    <w:jc w:val="center"/>
                    <w:rPr>
                      <w:rFonts w:hAnsi="宋体"/>
                      <w:color w:val="000000"/>
                      <w:szCs w:val="21"/>
                      <w:highlight w:val="none"/>
                    </w:rPr>
                  </w:pPr>
                </w:p>
              </w:tc>
            </w:tr>
            <w:tr w14:paraId="576FB76B">
              <w:tblPrEx>
                <w:tblCellMar>
                  <w:top w:w="0" w:type="dxa"/>
                  <w:left w:w="108" w:type="dxa"/>
                  <w:bottom w:w="0" w:type="dxa"/>
                  <w:right w:w="108" w:type="dxa"/>
                </w:tblCellMar>
              </w:tblPrEx>
              <w:trPr>
                <w:trHeight w:val="291" w:hRule="atLeast"/>
              </w:trPr>
              <w:tc>
                <w:tcPr>
                  <w:tcW w:w="349" w:type="pct"/>
                  <w:tcBorders>
                    <w:top w:val="nil"/>
                    <w:left w:val="single" w:color="auto" w:sz="4" w:space="0"/>
                    <w:bottom w:val="single" w:color="auto" w:sz="4" w:space="0"/>
                    <w:right w:val="single" w:color="auto" w:sz="4" w:space="0"/>
                  </w:tcBorders>
                  <w:noWrap/>
                  <w:vAlign w:val="center"/>
                </w:tcPr>
                <w:p w14:paraId="2D998C6C">
                  <w:pPr>
                    <w:jc w:val="center"/>
                    <w:rPr>
                      <w:color w:val="000000"/>
                      <w:szCs w:val="21"/>
                      <w:highlight w:val="none"/>
                    </w:rPr>
                  </w:pPr>
                  <w:r>
                    <w:rPr>
                      <w:color w:val="000000"/>
                      <w:szCs w:val="21"/>
                      <w:highlight w:val="none"/>
                    </w:rPr>
                    <w:t>1</w:t>
                  </w:r>
                </w:p>
              </w:tc>
              <w:tc>
                <w:tcPr>
                  <w:tcW w:w="689" w:type="pct"/>
                  <w:tcBorders>
                    <w:top w:val="nil"/>
                    <w:left w:val="nil"/>
                    <w:bottom w:val="single" w:color="auto" w:sz="4" w:space="0"/>
                    <w:right w:val="single" w:color="auto" w:sz="4" w:space="0"/>
                  </w:tcBorders>
                  <w:noWrap/>
                  <w:vAlign w:val="center"/>
                </w:tcPr>
                <w:p w14:paraId="1975F913">
                  <w:pPr>
                    <w:jc w:val="center"/>
                    <w:rPr>
                      <w:color w:val="000000"/>
                      <w:szCs w:val="21"/>
                      <w:highlight w:val="none"/>
                    </w:rPr>
                  </w:pPr>
                  <w:r>
                    <w:rPr>
                      <w:rFonts w:hAnsi="宋体"/>
                      <w:color w:val="000000"/>
                      <w:szCs w:val="21"/>
                      <w:highlight w:val="none"/>
                    </w:rPr>
                    <w:t>组件</w:t>
                  </w:r>
                </w:p>
              </w:tc>
              <w:tc>
                <w:tcPr>
                  <w:tcW w:w="1540" w:type="pct"/>
                  <w:tcBorders>
                    <w:top w:val="nil"/>
                    <w:left w:val="nil"/>
                    <w:bottom w:val="single" w:color="auto" w:sz="4" w:space="0"/>
                    <w:right w:val="single" w:color="auto" w:sz="4" w:space="0"/>
                  </w:tcBorders>
                  <w:noWrap/>
                  <w:vAlign w:val="center"/>
                </w:tcPr>
                <w:p w14:paraId="68F2A639">
                  <w:pPr>
                    <w:jc w:val="center"/>
                    <w:rPr>
                      <w:color w:val="000000"/>
                      <w:szCs w:val="21"/>
                      <w:highlight w:val="none"/>
                    </w:rPr>
                  </w:pPr>
                  <w:r>
                    <w:rPr>
                      <w:color w:val="000000"/>
                      <w:szCs w:val="21"/>
                      <w:highlight w:val="none"/>
                    </w:rPr>
                    <w:t>535Wp</w:t>
                  </w:r>
                </w:p>
              </w:tc>
              <w:tc>
                <w:tcPr>
                  <w:tcW w:w="350" w:type="pct"/>
                  <w:tcBorders>
                    <w:top w:val="nil"/>
                    <w:left w:val="nil"/>
                    <w:bottom w:val="single" w:color="auto" w:sz="4" w:space="0"/>
                    <w:right w:val="single" w:color="auto" w:sz="4" w:space="0"/>
                  </w:tcBorders>
                  <w:noWrap/>
                  <w:vAlign w:val="center"/>
                </w:tcPr>
                <w:p w14:paraId="33347826">
                  <w:pPr>
                    <w:jc w:val="center"/>
                    <w:rPr>
                      <w:color w:val="000000"/>
                      <w:szCs w:val="21"/>
                      <w:highlight w:val="none"/>
                    </w:rPr>
                  </w:pPr>
                  <w:r>
                    <w:rPr>
                      <w:color w:val="000000"/>
                      <w:szCs w:val="21"/>
                      <w:highlight w:val="none"/>
                    </w:rPr>
                    <w:t>kW</w:t>
                  </w:r>
                </w:p>
              </w:tc>
              <w:tc>
                <w:tcPr>
                  <w:tcW w:w="576" w:type="pct"/>
                  <w:tcBorders>
                    <w:top w:val="nil"/>
                    <w:left w:val="nil"/>
                    <w:bottom w:val="single" w:color="auto" w:sz="4" w:space="0"/>
                    <w:right w:val="single" w:color="auto" w:sz="4" w:space="0"/>
                  </w:tcBorders>
                  <w:shd w:val="clear" w:color="auto" w:fill="auto"/>
                  <w:noWrap/>
                  <w:vAlign w:val="center"/>
                </w:tcPr>
                <w:p w14:paraId="4604030E">
                  <w:pPr>
                    <w:ind w:left="0" w:leftChars="0" w:right="0" w:rightChars="0"/>
                    <w:jc w:val="center"/>
                    <w:rPr>
                      <w:rFonts w:ascii="宋体" w:hAnsi="宋体" w:eastAsia="宋体" w:cs="宋体"/>
                      <w:color w:val="000000"/>
                      <w:sz w:val="22"/>
                      <w:szCs w:val="21"/>
                      <w:highlight w:val="none"/>
                      <w:lang w:val="en-US" w:eastAsia="en-US" w:bidi="ar-SA"/>
                    </w:rPr>
                  </w:pPr>
                  <w:r>
                    <w:rPr>
                      <w:color w:val="000000"/>
                      <w:szCs w:val="21"/>
                      <w:highlight w:val="none"/>
                    </w:rPr>
                    <w:t>150000</w:t>
                  </w:r>
                </w:p>
              </w:tc>
              <w:tc>
                <w:tcPr>
                  <w:tcW w:w="576" w:type="pct"/>
                  <w:tcBorders>
                    <w:top w:val="nil"/>
                    <w:left w:val="nil"/>
                    <w:bottom w:val="single" w:color="auto" w:sz="4" w:space="0"/>
                    <w:right w:val="single" w:color="auto" w:sz="4" w:space="0"/>
                  </w:tcBorders>
                  <w:noWrap/>
                  <w:vAlign w:val="center"/>
                </w:tcPr>
                <w:p w14:paraId="0CEE3097">
                  <w:pPr>
                    <w:jc w:val="center"/>
                    <w:rPr>
                      <w:rFonts w:hint="default" w:eastAsia="宋体"/>
                      <w:color w:val="000000"/>
                      <w:szCs w:val="21"/>
                      <w:highlight w:val="none"/>
                      <w:lang w:val="en-US" w:eastAsia="zh-CN"/>
                    </w:rPr>
                  </w:pPr>
                  <w:r>
                    <w:rPr>
                      <w:rFonts w:hint="eastAsia"/>
                      <w:color w:val="000000"/>
                      <w:szCs w:val="21"/>
                      <w:highlight w:val="none"/>
                      <w:lang w:val="en-US" w:eastAsia="zh-CN"/>
                    </w:rPr>
                    <w:t>120000</w:t>
                  </w:r>
                </w:p>
              </w:tc>
              <w:tc>
                <w:tcPr>
                  <w:tcW w:w="916" w:type="pct"/>
                  <w:vMerge w:val="restart"/>
                  <w:tcBorders>
                    <w:top w:val="nil"/>
                    <w:left w:val="nil"/>
                    <w:right w:val="single" w:color="auto" w:sz="4" w:space="0"/>
                  </w:tcBorders>
                  <w:noWrap/>
                  <w:vAlign w:val="center"/>
                </w:tcPr>
                <w:p w14:paraId="63D61B59">
                  <w:pPr>
                    <w:jc w:val="center"/>
                    <w:rPr>
                      <w:rFonts w:hint="default" w:eastAsia="宋体"/>
                      <w:color w:val="000000"/>
                      <w:szCs w:val="21"/>
                      <w:highlight w:val="none"/>
                      <w:lang w:val="en-US" w:eastAsia="zh-CN"/>
                    </w:rPr>
                  </w:pPr>
                  <w:r>
                    <w:rPr>
                      <w:rFonts w:hint="eastAsia"/>
                      <w:color w:val="000000"/>
                      <w:szCs w:val="21"/>
                      <w:highlight w:val="none"/>
                      <w:lang w:val="en-US" w:eastAsia="zh-CN"/>
                    </w:rPr>
                    <w:t>分期建设</w:t>
                  </w:r>
                </w:p>
              </w:tc>
            </w:tr>
            <w:tr w14:paraId="788195E7">
              <w:tblPrEx>
                <w:tblCellMar>
                  <w:top w:w="0" w:type="dxa"/>
                  <w:left w:w="108" w:type="dxa"/>
                  <w:bottom w:w="0" w:type="dxa"/>
                  <w:right w:w="108" w:type="dxa"/>
                </w:tblCellMar>
              </w:tblPrEx>
              <w:trPr>
                <w:trHeight w:val="291" w:hRule="atLeast"/>
              </w:trPr>
              <w:tc>
                <w:tcPr>
                  <w:tcW w:w="349" w:type="pct"/>
                  <w:tcBorders>
                    <w:top w:val="nil"/>
                    <w:left w:val="single" w:color="auto" w:sz="4" w:space="0"/>
                    <w:bottom w:val="single" w:color="auto" w:sz="4" w:space="0"/>
                    <w:right w:val="single" w:color="auto" w:sz="4" w:space="0"/>
                  </w:tcBorders>
                  <w:noWrap/>
                  <w:vAlign w:val="center"/>
                </w:tcPr>
                <w:p w14:paraId="40FC3B06">
                  <w:pPr>
                    <w:jc w:val="center"/>
                    <w:rPr>
                      <w:color w:val="000000"/>
                      <w:szCs w:val="21"/>
                      <w:highlight w:val="none"/>
                    </w:rPr>
                  </w:pPr>
                  <w:r>
                    <w:rPr>
                      <w:color w:val="000000"/>
                      <w:szCs w:val="21"/>
                      <w:highlight w:val="none"/>
                    </w:rPr>
                    <w:t>2</w:t>
                  </w:r>
                </w:p>
              </w:tc>
              <w:tc>
                <w:tcPr>
                  <w:tcW w:w="689" w:type="pct"/>
                  <w:tcBorders>
                    <w:top w:val="nil"/>
                    <w:left w:val="nil"/>
                    <w:bottom w:val="single" w:color="auto" w:sz="4" w:space="0"/>
                    <w:right w:val="single" w:color="auto" w:sz="4" w:space="0"/>
                  </w:tcBorders>
                  <w:noWrap/>
                  <w:vAlign w:val="center"/>
                </w:tcPr>
                <w:p w14:paraId="4C1088E5">
                  <w:pPr>
                    <w:jc w:val="center"/>
                    <w:rPr>
                      <w:color w:val="000000"/>
                      <w:szCs w:val="21"/>
                      <w:highlight w:val="none"/>
                    </w:rPr>
                  </w:pPr>
                  <w:r>
                    <w:rPr>
                      <w:rFonts w:hAnsi="宋体"/>
                      <w:color w:val="000000"/>
                      <w:szCs w:val="21"/>
                      <w:highlight w:val="none"/>
                    </w:rPr>
                    <w:t>支架</w:t>
                  </w:r>
                  <w:r>
                    <w:rPr>
                      <w:color w:val="000000"/>
                      <w:szCs w:val="21"/>
                      <w:highlight w:val="none"/>
                    </w:rPr>
                    <w:t>/</w:t>
                  </w:r>
                  <w:r>
                    <w:rPr>
                      <w:rFonts w:hAnsi="宋体"/>
                      <w:color w:val="000000"/>
                      <w:szCs w:val="21"/>
                      <w:highlight w:val="none"/>
                    </w:rPr>
                    <w:t>基础</w:t>
                  </w:r>
                </w:p>
              </w:tc>
              <w:tc>
                <w:tcPr>
                  <w:tcW w:w="1540" w:type="pct"/>
                  <w:tcBorders>
                    <w:top w:val="nil"/>
                    <w:left w:val="nil"/>
                    <w:bottom w:val="single" w:color="auto" w:sz="4" w:space="0"/>
                    <w:right w:val="single" w:color="auto" w:sz="4" w:space="0"/>
                  </w:tcBorders>
                  <w:noWrap/>
                  <w:vAlign w:val="center"/>
                </w:tcPr>
                <w:p w14:paraId="11122A97">
                  <w:pPr>
                    <w:jc w:val="center"/>
                    <w:rPr>
                      <w:color w:val="000000"/>
                      <w:szCs w:val="21"/>
                      <w:highlight w:val="none"/>
                    </w:rPr>
                  </w:pPr>
                  <w:r>
                    <w:rPr>
                      <w:rFonts w:hAnsi="宋体"/>
                      <w:color w:val="000000"/>
                      <w:szCs w:val="21"/>
                      <w:highlight w:val="none"/>
                    </w:rPr>
                    <w:t>　</w:t>
                  </w:r>
                  <w:r>
                    <w:rPr>
                      <w:color w:val="000000"/>
                      <w:szCs w:val="21"/>
                      <w:highlight w:val="none"/>
                    </w:rPr>
                    <w:t>/</w:t>
                  </w:r>
                </w:p>
              </w:tc>
              <w:tc>
                <w:tcPr>
                  <w:tcW w:w="350" w:type="pct"/>
                  <w:tcBorders>
                    <w:top w:val="nil"/>
                    <w:left w:val="nil"/>
                    <w:bottom w:val="single" w:color="auto" w:sz="4" w:space="0"/>
                    <w:right w:val="single" w:color="auto" w:sz="4" w:space="0"/>
                  </w:tcBorders>
                  <w:noWrap/>
                  <w:vAlign w:val="center"/>
                </w:tcPr>
                <w:p w14:paraId="2CE1E2FF">
                  <w:pPr>
                    <w:jc w:val="center"/>
                    <w:rPr>
                      <w:color w:val="000000"/>
                      <w:szCs w:val="21"/>
                      <w:highlight w:val="none"/>
                    </w:rPr>
                  </w:pPr>
                  <w:r>
                    <w:rPr>
                      <w:rFonts w:hAnsi="宋体"/>
                      <w:color w:val="000000"/>
                      <w:szCs w:val="21"/>
                      <w:highlight w:val="none"/>
                    </w:rPr>
                    <w:t>套</w:t>
                  </w:r>
                </w:p>
              </w:tc>
              <w:tc>
                <w:tcPr>
                  <w:tcW w:w="576" w:type="pct"/>
                  <w:tcBorders>
                    <w:top w:val="nil"/>
                    <w:left w:val="nil"/>
                    <w:bottom w:val="single" w:color="auto" w:sz="4" w:space="0"/>
                    <w:right w:val="single" w:color="auto" w:sz="4" w:space="0"/>
                  </w:tcBorders>
                  <w:shd w:val="clear" w:color="auto" w:fill="auto"/>
                  <w:noWrap/>
                  <w:vAlign w:val="center"/>
                </w:tcPr>
                <w:p w14:paraId="59237974">
                  <w:pPr>
                    <w:ind w:left="0" w:leftChars="0" w:right="0" w:rightChars="0"/>
                    <w:jc w:val="center"/>
                    <w:rPr>
                      <w:rFonts w:ascii="宋体" w:hAnsi="宋体" w:eastAsia="宋体" w:cs="宋体"/>
                      <w:color w:val="000000"/>
                      <w:sz w:val="22"/>
                      <w:szCs w:val="21"/>
                      <w:highlight w:val="none"/>
                      <w:lang w:val="en-US" w:eastAsia="en-US" w:bidi="ar-SA"/>
                    </w:rPr>
                  </w:pPr>
                  <w:r>
                    <w:rPr>
                      <w:color w:val="000000"/>
                      <w:szCs w:val="21"/>
                      <w:highlight w:val="none"/>
                    </w:rPr>
                    <w:t>150000</w:t>
                  </w:r>
                </w:p>
              </w:tc>
              <w:tc>
                <w:tcPr>
                  <w:tcW w:w="576" w:type="pct"/>
                  <w:tcBorders>
                    <w:top w:val="nil"/>
                    <w:left w:val="nil"/>
                    <w:bottom w:val="single" w:color="auto" w:sz="4" w:space="0"/>
                    <w:right w:val="single" w:color="auto" w:sz="4" w:space="0"/>
                  </w:tcBorders>
                  <w:noWrap/>
                  <w:vAlign w:val="center"/>
                </w:tcPr>
                <w:p w14:paraId="5E4F57A6">
                  <w:pPr>
                    <w:jc w:val="center"/>
                    <w:rPr>
                      <w:rFonts w:hint="default" w:eastAsia="宋体"/>
                      <w:color w:val="000000"/>
                      <w:szCs w:val="21"/>
                      <w:highlight w:val="none"/>
                      <w:lang w:val="en-US" w:eastAsia="zh-CN"/>
                    </w:rPr>
                  </w:pPr>
                  <w:r>
                    <w:rPr>
                      <w:rFonts w:hint="eastAsia"/>
                      <w:color w:val="000000"/>
                      <w:szCs w:val="21"/>
                      <w:highlight w:val="none"/>
                      <w:lang w:val="en-US" w:eastAsia="zh-CN"/>
                    </w:rPr>
                    <w:t>120000</w:t>
                  </w:r>
                </w:p>
              </w:tc>
              <w:tc>
                <w:tcPr>
                  <w:tcW w:w="916" w:type="pct"/>
                  <w:vMerge w:val="continue"/>
                  <w:tcBorders>
                    <w:left w:val="nil"/>
                    <w:right w:val="single" w:color="auto" w:sz="4" w:space="0"/>
                  </w:tcBorders>
                  <w:noWrap/>
                  <w:vAlign w:val="center"/>
                </w:tcPr>
                <w:p w14:paraId="07751EDF">
                  <w:pPr>
                    <w:jc w:val="center"/>
                    <w:rPr>
                      <w:color w:val="000000"/>
                      <w:szCs w:val="21"/>
                      <w:highlight w:val="none"/>
                    </w:rPr>
                  </w:pPr>
                </w:p>
              </w:tc>
            </w:tr>
            <w:tr w14:paraId="05EC8657">
              <w:tblPrEx>
                <w:tblCellMar>
                  <w:top w:w="0" w:type="dxa"/>
                  <w:left w:w="108" w:type="dxa"/>
                  <w:bottom w:w="0" w:type="dxa"/>
                  <w:right w:w="108" w:type="dxa"/>
                </w:tblCellMar>
              </w:tblPrEx>
              <w:trPr>
                <w:trHeight w:val="291" w:hRule="atLeast"/>
              </w:trPr>
              <w:tc>
                <w:tcPr>
                  <w:tcW w:w="349" w:type="pct"/>
                  <w:tcBorders>
                    <w:top w:val="nil"/>
                    <w:left w:val="single" w:color="auto" w:sz="4" w:space="0"/>
                    <w:bottom w:val="single" w:color="auto" w:sz="4" w:space="0"/>
                    <w:right w:val="single" w:color="auto" w:sz="4" w:space="0"/>
                  </w:tcBorders>
                  <w:noWrap/>
                  <w:vAlign w:val="center"/>
                </w:tcPr>
                <w:p w14:paraId="31839ED5">
                  <w:pPr>
                    <w:jc w:val="center"/>
                    <w:rPr>
                      <w:color w:val="000000"/>
                      <w:szCs w:val="21"/>
                      <w:highlight w:val="none"/>
                    </w:rPr>
                  </w:pPr>
                  <w:r>
                    <w:rPr>
                      <w:color w:val="000000"/>
                      <w:szCs w:val="21"/>
                      <w:highlight w:val="none"/>
                    </w:rPr>
                    <w:t>3</w:t>
                  </w:r>
                </w:p>
              </w:tc>
              <w:tc>
                <w:tcPr>
                  <w:tcW w:w="689" w:type="pct"/>
                  <w:tcBorders>
                    <w:top w:val="nil"/>
                    <w:left w:val="nil"/>
                    <w:bottom w:val="single" w:color="auto" w:sz="4" w:space="0"/>
                    <w:right w:val="single" w:color="auto" w:sz="4" w:space="0"/>
                  </w:tcBorders>
                  <w:noWrap/>
                  <w:vAlign w:val="center"/>
                </w:tcPr>
                <w:p w14:paraId="0E7C0E77">
                  <w:pPr>
                    <w:jc w:val="center"/>
                    <w:rPr>
                      <w:color w:val="000000"/>
                      <w:szCs w:val="21"/>
                      <w:highlight w:val="none"/>
                    </w:rPr>
                  </w:pPr>
                  <w:r>
                    <w:rPr>
                      <w:rFonts w:hAnsi="宋体"/>
                      <w:color w:val="000000"/>
                      <w:szCs w:val="21"/>
                      <w:highlight w:val="none"/>
                    </w:rPr>
                    <w:t>箱逆变</w:t>
                  </w:r>
                </w:p>
              </w:tc>
              <w:tc>
                <w:tcPr>
                  <w:tcW w:w="1540" w:type="pct"/>
                  <w:tcBorders>
                    <w:top w:val="nil"/>
                    <w:left w:val="nil"/>
                    <w:bottom w:val="single" w:color="auto" w:sz="4" w:space="0"/>
                    <w:right w:val="single" w:color="auto" w:sz="4" w:space="0"/>
                  </w:tcBorders>
                  <w:noWrap/>
                  <w:vAlign w:val="center"/>
                </w:tcPr>
                <w:p w14:paraId="6EFE98DF">
                  <w:pPr>
                    <w:jc w:val="center"/>
                    <w:rPr>
                      <w:color w:val="000000"/>
                      <w:szCs w:val="21"/>
                      <w:highlight w:val="none"/>
                    </w:rPr>
                  </w:pPr>
                  <w:r>
                    <w:rPr>
                      <w:color w:val="000000"/>
                      <w:szCs w:val="21"/>
                      <w:highlight w:val="none"/>
                    </w:rPr>
                    <w:t>3125kW</w:t>
                  </w:r>
                </w:p>
              </w:tc>
              <w:tc>
                <w:tcPr>
                  <w:tcW w:w="350" w:type="pct"/>
                  <w:tcBorders>
                    <w:top w:val="nil"/>
                    <w:left w:val="nil"/>
                    <w:bottom w:val="single" w:color="auto" w:sz="4" w:space="0"/>
                    <w:right w:val="single" w:color="auto" w:sz="4" w:space="0"/>
                  </w:tcBorders>
                  <w:noWrap/>
                  <w:vAlign w:val="center"/>
                </w:tcPr>
                <w:p w14:paraId="1475D19C">
                  <w:pPr>
                    <w:jc w:val="center"/>
                    <w:rPr>
                      <w:color w:val="000000"/>
                      <w:szCs w:val="21"/>
                      <w:highlight w:val="none"/>
                    </w:rPr>
                  </w:pPr>
                  <w:r>
                    <w:rPr>
                      <w:rFonts w:hAnsi="宋体"/>
                      <w:color w:val="000000"/>
                      <w:szCs w:val="21"/>
                      <w:highlight w:val="none"/>
                    </w:rPr>
                    <w:t>台</w:t>
                  </w:r>
                </w:p>
              </w:tc>
              <w:tc>
                <w:tcPr>
                  <w:tcW w:w="576" w:type="pct"/>
                  <w:tcBorders>
                    <w:top w:val="nil"/>
                    <w:left w:val="nil"/>
                    <w:bottom w:val="single" w:color="auto" w:sz="4" w:space="0"/>
                    <w:right w:val="single" w:color="auto" w:sz="4" w:space="0"/>
                  </w:tcBorders>
                  <w:shd w:val="clear" w:color="auto" w:fill="auto"/>
                  <w:noWrap/>
                  <w:vAlign w:val="center"/>
                </w:tcPr>
                <w:p w14:paraId="0540FE53">
                  <w:pPr>
                    <w:ind w:left="0" w:leftChars="0" w:right="0" w:rightChars="0"/>
                    <w:jc w:val="center"/>
                    <w:rPr>
                      <w:rFonts w:ascii="宋体" w:hAnsi="宋体" w:eastAsia="宋体" w:cs="宋体"/>
                      <w:color w:val="000000"/>
                      <w:sz w:val="22"/>
                      <w:szCs w:val="21"/>
                      <w:highlight w:val="none"/>
                      <w:lang w:val="en-US" w:eastAsia="en-US" w:bidi="ar-SA"/>
                    </w:rPr>
                  </w:pPr>
                  <w:r>
                    <w:rPr>
                      <w:color w:val="000000"/>
                      <w:szCs w:val="21"/>
                      <w:highlight w:val="none"/>
                    </w:rPr>
                    <w:t>39</w:t>
                  </w:r>
                </w:p>
              </w:tc>
              <w:tc>
                <w:tcPr>
                  <w:tcW w:w="576" w:type="pct"/>
                  <w:tcBorders>
                    <w:top w:val="nil"/>
                    <w:left w:val="nil"/>
                    <w:bottom w:val="single" w:color="auto" w:sz="4" w:space="0"/>
                    <w:right w:val="single" w:color="auto" w:sz="4" w:space="0"/>
                  </w:tcBorders>
                  <w:noWrap/>
                  <w:vAlign w:val="center"/>
                </w:tcPr>
                <w:p w14:paraId="57F4964C">
                  <w:pPr>
                    <w:keepNext w:val="0"/>
                    <w:keepLines w:val="0"/>
                    <w:widowControl/>
                    <w:suppressLineNumbers w:val="0"/>
                    <w:ind w:left="0" w:leftChars="0" w:right="0" w:rightChars="0"/>
                    <w:jc w:val="center"/>
                    <w:textAlignment w:val="center"/>
                    <w:rPr>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31</w:t>
                  </w:r>
                </w:p>
              </w:tc>
              <w:tc>
                <w:tcPr>
                  <w:tcW w:w="916" w:type="pct"/>
                  <w:vMerge w:val="continue"/>
                  <w:tcBorders>
                    <w:left w:val="nil"/>
                    <w:right w:val="single" w:color="auto" w:sz="4" w:space="0"/>
                  </w:tcBorders>
                  <w:noWrap/>
                  <w:vAlign w:val="center"/>
                </w:tcPr>
                <w:p w14:paraId="6B2D60B0">
                  <w:pPr>
                    <w:jc w:val="center"/>
                    <w:rPr>
                      <w:color w:val="000000"/>
                      <w:szCs w:val="21"/>
                      <w:highlight w:val="none"/>
                    </w:rPr>
                  </w:pPr>
                </w:p>
              </w:tc>
            </w:tr>
            <w:tr w14:paraId="1E5622CB">
              <w:tblPrEx>
                <w:tblCellMar>
                  <w:top w:w="0" w:type="dxa"/>
                  <w:left w:w="108" w:type="dxa"/>
                  <w:bottom w:w="0" w:type="dxa"/>
                  <w:right w:w="108" w:type="dxa"/>
                </w:tblCellMar>
              </w:tblPrEx>
              <w:trPr>
                <w:trHeight w:val="291" w:hRule="atLeast"/>
              </w:trPr>
              <w:tc>
                <w:tcPr>
                  <w:tcW w:w="349" w:type="pct"/>
                  <w:tcBorders>
                    <w:top w:val="nil"/>
                    <w:left w:val="single" w:color="auto" w:sz="4" w:space="0"/>
                    <w:bottom w:val="single" w:color="auto" w:sz="4" w:space="0"/>
                    <w:right w:val="single" w:color="auto" w:sz="4" w:space="0"/>
                  </w:tcBorders>
                  <w:noWrap/>
                  <w:vAlign w:val="center"/>
                </w:tcPr>
                <w:p w14:paraId="527CEAD4">
                  <w:pPr>
                    <w:jc w:val="center"/>
                    <w:rPr>
                      <w:color w:val="000000"/>
                      <w:szCs w:val="21"/>
                      <w:highlight w:val="none"/>
                    </w:rPr>
                  </w:pPr>
                  <w:r>
                    <w:rPr>
                      <w:color w:val="000000"/>
                      <w:szCs w:val="21"/>
                      <w:highlight w:val="none"/>
                    </w:rPr>
                    <w:t>4</w:t>
                  </w:r>
                </w:p>
              </w:tc>
              <w:tc>
                <w:tcPr>
                  <w:tcW w:w="689" w:type="pct"/>
                  <w:tcBorders>
                    <w:top w:val="nil"/>
                    <w:left w:val="nil"/>
                    <w:bottom w:val="single" w:color="auto" w:sz="4" w:space="0"/>
                    <w:right w:val="single" w:color="auto" w:sz="4" w:space="0"/>
                  </w:tcBorders>
                  <w:noWrap/>
                  <w:vAlign w:val="center"/>
                </w:tcPr>
                <w:p w14:paraId="1F71AB9B">
                  <w:pPr>
                    <w:jc w:val="center"/>
                    <w:rPr>
                      <w:color w:val="000000"/>
                      <w:szCs w:val="21"/>
                      <w:highlight w:val="none"/>
                    </w:rPr>
                  </w:pPr>
                  <w:r>
                    <w:rPr>
                      <w:rFonts w:hAnsi="宋体"/>
                      <w:color w:val="000000"/>
                      <w:szCs w:val="21"/>
                      <w:highlight w:val="none"/>
                    </w:rPr>
                    <w:t>直流汇流箱</w:t>
                  </w:r>
                </w:p>
              </w:tc>
              <w:tc>
                <w:tcPr>
                  <w:tcW w:w="1540" w:type="pct"/>
                  <w:tcBorders>
                    <w:top w:val="nil"/>
                    <w:left w:val="nil"/>
                    <w:bottom w:val="single" w:color="auto" w:sz="4" w:space="0"/>
                    <w:right w:val="single" w:color="auto" w:sz="4" w:space="0"/>
                  </w:tcBorders>
                  <w:noWrap/>
                  <w:vAlign w:val="center"/>
                </w:tcPr>
                <w:p w14:paraId="4E9A9271">
                  <w:pPr>
                    <w:jc w:val="center"/>
                    <w:rPr>
                      <w:color w:val="000000"/>
                      <w:szCs w:val="21"/>
                      <w:highlight w:val="none"/>
                    </w:rPr>
                  </w:pPr>
                  <w:r>
                    <w:rPr>
                      <w:color w:val="000000"/>
                      <w:szCs w:val="21"/>
                      <w:highlight w:val="none"/>
                    </w:rPr>
                    <w:t>24</w:t>
                  </w:r>
                  <w:r>
                    <w:rPr>
                      <w:rFonts w:hAnsi="宋体"/>
                      <w:color w:val="000000"/>
                      <w:szCs w:val="21"/>
                      <w:highlight w:val="none"/>
                    </w:rPr>
                    <w:t>进</w:t>
                  </w:r>
                  <w:r>
                    <w:rPr>
                      <w:color w:val="000000"/>
                      <w:szCs w:val="21"/>
                      <w:highlight w:val="none"/>
                    </w:rPr>
                    <w:t>1</w:t>
                  </w:r>
                  <w:r>
                    <w:rPr>
                      <w:rFonts w:hAnsi="宋体"/>
                      <w:color w:val="000000"/>
                      <w:szCs w:val="21"/>
                      <w:highlight w:val="none"/>
                    </w:rPr>
                    <w:t>出</w:t>
                  </w:r>
                </w:p>
              </w:tc>
              <w:tc>
                <w:tcPr>
                  <w:tcW w:w="350" w:type="pct"/>
                  <w:tcBorders>
                    <w:top w:val="nil"/>
                    <w:left w:val="nil"/>
                    <w:bottom w:val="single" w:color="auto" w:sz="4" w:space="0"/>
                    <w:right w:val="single" w:color="auto" w:sz="4" w:space="0"/>
                  </w:tcBorders>
                  <w:noWrap/>
                  <w:vAlign w:val="center"/>
                </w:tcPr>
                <w:p w14:paraId="36F49C8B">
                  <w:pPr>
                    <w:jc w:val="center"/>
                    <w:rPr>
                      <w:color w:val="000000"/>
                      <w:szCs w:val="21"/>
                      <w:highlight w:val="none"/>
                    </w:rPr>
                  </w:pPr>
                  <w:r>
                    <w:rPr>
                      <w:rFonts w:hAnsi="宋体"/>
                      <w:color w:val="000000"/>
                      <w:szCs w:val="21"/>
                      <w:highlight w:val="none"/>
                    </w:rPr>
                    <w:t>台</w:t>
                  </w:r>
                </w:p>
              </w:tc>
              <w:tc>
                <w:tcPr>
                  <w:tcW w:w="576" w:type="pct"/>
                  <w:tcBorders>
                    <w:top w:val="nil"/>
                    <w:left w:val="nil"/>
                    <w:bottom w:val="single" w:color="auto" w:sz="4" w:space="0"/>
                    <w:right w:val="single" w:color="auto" w:sz="4" w:space="0"/>
                  </w:tcBorders>
                  <w:shd w:val="clear" w:color="auto" w:fill="auto"/>
                  <w:noWrap/>
                  <w:vAlign w:val="center"/>
                </w:tcPr>
                <w:p w14:paraId="49A37A03">
                  <w:pPr>
                    <w:ind w:left="0" w:leftChars="0" w:right="0" w:rightChars="0"/>
                    <w:jc w:val="center"/>
                    <w:rPr>
                      <w:rFonts w:ascii="宋体" w:hAnsi="宋体" w:eastAsia="宋体" w:cs="宋体"/>
                      <w:color w:val="000000"/>
                      <w:sz w:val="22"/>
                      <w:szCs w:val="21"/>
                      <w:highlight w:val="none"/>
                      <w:lang w:val="en-US" w:eastAsia="en-US" w:bidi="ar-SA"/>
                    </w:rPr>
                  </w:pPr>
                  <w:r>
                    <w:rPr>
                      <w:color w:val="000000"/>
                      <w:szCs w:val="21"/>
                      <w:highlight w:val="none"/>
                    </w:rPr>
                    <w:t>546</w:t>
                  </w:r>
                </w:p>
              </w:tc>
              <w:tc>
                <w:tcPr>
                  <w:tcW w:w="576" w:type="pct"/>
                  <w:tcBorders>
                    <w:top w:val="nil"/>
                    <w:left w:val="nil"/>
                    <w:bottom w:val="single" w:color="auto" w:sz="4" w:space="0"/>
                    <w:right w:val="single" w:color="auto" w:sz="4" w:space="0"/>
                  </w:tcBorders>
                  <w:noWrap/>
                  <w:vAlign w:val="center"/>
                </w:tcPr>
                <w:p w14:paraId="10213733">
                  <w:pPr>
                    <w:keepNext w:val="0"/>
                    <w:keepLines w:val="0"/>
                    <w:widowControl/>
                    <w:suppressLineNumbers w:val="0"/>
                    <w:ind w:left="0" w:leftChars="0" w:right="0" w:rightChars="0"/>
                    <w:jc w:val="center"/>
                    <w:textAlignment w:val="center"/>
                    <w:rPr>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437</w:t>
                  </w:r>
                </w:p>
              </w:tc>
              <w:tc>
                <w:tcPr>
                  <w:tcW w:w="916" w:type="pct"/>
                  <w:vMerge w:val="continue"/>
                  <w:tcBorders>
                    <w:left w:val="nil"/>
                    <w:right w:val="single" w:color="auto" w:sz="4" w:space="0"/>
                  </w:tcBorders>
                  <w:noWrap/>
                  <w:vAlign w:val="center"/>
                </w:tcPr>
                <w:p w14:paraId="0D3F36E3">
                  <w:pPr>
                    <w:jc w:val="center"/>
                    <w:rPr>
                      <w:color w:val="000000"/>
                      <w:szCs w:val="21"/>
                      <w:highlight w:val="none"/>
                    </w:rPr>
                  </w:pPr>
                </w:p>
              </w:tc>
            </w:tr>
            <w:tr w14:paraId="664122F1">
              <w:tblPrEx>
                <w:tblCellMar>
                  <w:top w:w="0" w:type="dxa"/>
                  <w:left w:w="108" w:type="dxa"/>
                  <w:bottom w:w="0" w:type="dxa"/>
                  <w:right w:w="108" w:type="dxa"/>
                </w:tblCellMar>
              </w:tblPrEx>
              <w:trPr>
                <w:trHeight w:val="291" w:hRule="atLeast"/>
              </w:trPr>
              <w:tc>
                <w:tcPr>
                  <w:tcW w:w="349" w:type="pct"/>
                  <w:tcBorders>
                    <w:top w:val="nil"/>
                    <w:left w:val="single" w:color="auto" w:sz="4" w:space="0"/>
                    <w:bottom w:val="single" w:color="auto" w:sz="4" w:space="0"/>
                    <w:right w:val="single" w:color="auto" w:sz="4" w:space="0"/>
                  </w:tcBorders>
                  <w:noWrap/>
                  <w:vAlign w:val="center"/>
                </w:tcPr>
                <w:p w14:paraId="7FBE654E">
                  <w:pPr>
                    <w:jc w:val="center"/>
                    <w:rPr>
                      <w:color w:val="000000"/>
                      <w:szCs w:val="21"/>
                      <w:highlight w:val="none"/>
                    </w:rPr>
                  </w:pPr>
                  <w:r>
                    <w:rPr>
                      <w:color w:val="000000"/>
                      <w:szCs w:val="21"/>
                      <w:highlight w:val="none"/>
                    </w:rPr>
                    <w:t>5</w:t>
                  </w:r>
                </w:p>
              </w:tc>
              <w:tc>
                <w:tcPr>
                  <w:tcW w:w="689" w:type="pct"/>
                  <w:tcBorders>
                    <w:top w:val="nil"/>
                    <w:left w:val="nil"/>
                    <w:bottom w:val="single" w:color="auto" w:sz="4" w:space="0"/>
                    <w:right w:val="single" w:color="auto" w:sz="4" w:space="0"/>
                  </w:tcBorders>
                  <w:noWrap/>
                  <w:vAlign w:val="center"/>
                </w:tcPr>
                <w:p w14:paraId="0D29964E">
                  <w:pPr>
                    <w:jc w:val="center"/>
                    <w:rPr>
                      <w:color w:val="000000"/>
                      <w:szCs w:val="21"/>
                      <w:highlight w:val="none"/>
                    </w:rPr>
                  </w:pPr>
                  <w:r>
                    <w:rPr>
                      <w:rFonts w:hAnsi="宋体"/>
                      <w:color w:val="000000"/>
                      <w:szCs w:val="21"/>
                      <w:highlight w:val="none"/>
                    </w:rPr>
                    <w:t>直流电缆</w:t>
                  </w:r>
                </w:p>
              </w:tc>
              <w:tc>
                <w:tcPr>
                  <w:tcW w:w="1540" w:type="pct"/>
                  <w:tcBorders>
                    <w:top w:val="nil"/>
                    <w:left w:val="nil"/>
                    <w:bottom w:val="single" w:color="auto" w:sz="4" w:space="0"/>
                    <w:right w:val="single" w:color="auto" w:sz="4" w:space="0"/>
                  </w:tcBorders>
                  <w:noWrap/>
                  <w:vAlign w:val="center"/>
                </w:tcPr>
                <w:p w14:paraId="292187C6">
                  <w:pPr>
                    <w:jc w:val="center"/>
                    <w:rPr>
                      <w:color w:val="000000"/>
                      <w:szCs w:val="21"/>
                      <w:highlight w:val="none"/>
                    </w:rPr>
                  </w:pPr>
                  <w:r>
                    <w:rPr>
                      <w:color w:val="000000"/>
                      <w:szCs w:val="21"/>
                      <w:highlight w:val="none"/>
                    </w:rPr>
                    <w:t>H1Z2Z2-K-1*4m</w:t>
                  </w:r>
                  <w:r>
                    <w:rPr>
                      <w:rFonts w:hAnsi="宋体"/>
                      <w:color w:val="000000"/>
                      <w:szCs w:val="21"/>
                      <w:highlight w:val="none"/>
                    </w:rPr>
                    <w:t>㎡</w:t>
                  </w:r>
                </w:p>
              </w:tc>
              <w:tc>
                <w:tcPr>
                  <w:tcW w:w="350" w:type="pct"/>
                  <w:tcBorders>
                    <w:top w:val="nil"/>
                    <w:left w:val="nil"/>
                    <w:bottom w:val="single" w:color="auto" w:sz="4" w:space="0"/>
                    <w:right w:val="single" w:color="auto" w:sz="4" w:space="0"/>
                  </w:tcBorders>
                  <w:noWrap/>
                  <w:vAlign w:val="center"/>
                </w:tcPr>
                <w:p w14:paraId="70B12D7C">
                  <w:pPr>
                    <w:jc w:val="center"/>
                    <w:rPr>
                      <w:color w:val="000000"/>
                      <w:szCs w:val="21"/>
                      <w:highlight w:val="none"/>
                    </w:rPr>
                  </w:pPr>
                  <w:r>
                    <w:rPr>
                      <w:rFonts w:hAnsi="宋体"/>
                      <w:color w:val="000000"/>
                      <w:szCs w:val="21"/>
                      <w:highlight w:val="none"/>
                    </w:rPr>
                    <w:t>米</w:t>
                  </w:r>
                </w:p>
              </w:tc>
              <w:tc>
                <w:tcPr>
                  <w:tcW w:w="576" w:type="pct"/>
                  <w:tcBorders>
                    <w:top w:val="nil"/>
                    <w:left w:val="nil"/>
                    <w:bottom w:val="single" w:color="auto" w:sz="4" w:space="0"/>
                    <w:right w:val="single" w:color="auto" w:sz="4" w:space="0"/>
                  </w:tcBorders>
                  <w:shd w:val="clear" w:color="auto" w:fill="auto"/>
                  <w:noWrap/>
                  <w:vAlign w:val="center"/>
                </w:tcPr>
                <w:p w14:paraId="4D658E23">
                  <w:pPr>
                    <w:ind w:left="0" w:leftChars="0" w:right="0" w:rightChars="0"/>
                    <w:jc w:val="center"/>
                    <w:rPr>
                      <w:rFonts w:ascii="宋体" w:hAnsi="宋体" w:eastAsia="宋体" w:cs="宋体"/>
                      <w:color w:val="000000"/>
                      <w:sz w:val="22"/>
                      <w:szCs w:val="21"/>
                      <w:highlight w:val="none"/>
                      <w:lang w:val="en-US" w:eastAsia="en-US" w:bidi="ar-SA"/>
                    </w:rPr>
                  </w:pPr>
                  <w:r>
                    <w:rPr>
                      <w:color w:val="000000"/>
                      <w:szCs w:val="21"/>
                      <w:highlight w:val="none"/>
                    </w:rPr>
                    <w:t>968409</w:t>
                  </w:r>
                </w:p>
              </w:tc>
              <w:tc>
                <w:tcPr>
                  <w:tcW w:w="576" w:type="pct"/>
                  <w:tcBorders>
                    <w:top w:val="nil"/>
                    <w:left w:val="nil"/>
                    <w:bottom w:val="single" w:color="auto" w:sz="4" w:space="0"/>
                    <w:right w:val="single" w:color="auto" w:sz="4" w:space="0"/>
                  </w:tcBorders>
                  <w:noWrap/>
                  <w:vAlign w:val="center"/>
                </w:tcPr>
                <w:p w14:paraId="2C89F75F">
                  <w:pPr>
                    <w:keepNext w:val="0"/>
                    <w:keepLines w:val="0"/>
                    <w:widowControl/>
                    <w:suppressLineNumbers w:val="0"/>
                    <w:ind w:left="0" w:leftChars="0" w:right="0" w:rightChars="0"/>
                    <w:jc w:val="center"/>
                    <w:textAlignment w:val="center"/>
                    <w:rPr>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774727</w:t>
                  </w:r>
                </w:p>
              </w:tc>
              <w:tc>
                <w:tcPr>
                  <w:tcW w:w="916" w:type="pct"/>
                  <w:vMerge w:val="continue"/>
                  <w:tcBorders>
                    <w:left w:val="nil"/>
                    <w:right w:val="single" w:color="auto" w:sz="4" w:space="0"/>
                  </w:tcBorders>
                  <w:noWrap/>
                  <w:vAlign w:val="center"/>
                </w:tcPr>
                <w:p w14:paraId="7246F63A">
                  <w:pPr>
                    <w:jc w:val="center"/>
                    <w:rPr>
                      <w:color w:val="000000"/>
                      <w:szCs w:val="21"/>
                      <w:highlight w:val="none"/>
                    </w:rPr>
                  </w:pPr>
                </w:p>
              </w:tc>
            </w:tr>
            <w:tr w14:paraId="039B7F4F">
              <w:tblPrEx>
                <w:tblCellMar>
                  <w:top w:w="0" w:type="dxa"/>
                  <w:left w:w="108" w:type="dxa"/>
                  <w:bottom w:w="0" w:type="dxa"/>
                  <w:right w:w="108" w:type="dxa"/>
                </w:tblCellMar>
              </w:tblPrEx>
              <w:trPr>
                <w:trHeight w:val="291" w:hRule="atLeast"/>
              </w:trPr>
              <w:tc>
                <w:tcPr>
                  <w:tcW w:w="349" w:type="pct"/>
                  <w:tcBorders>
                    <w:top w:val="nil"/>
                    <w:left w:val="single" w:color="auto" w:sz="4" w:space="0"/>
                    <w:bottom w:val="single" w:color="auto" w:sz="4" w:space="0"/>
                    <w:right w:val="single" w:color="auto" w:sz="4" w:space="0"/>
                  </w:tcBorders>
                  <w:noWrap/>
                  <w:vAlign w:val="center"/>
                </w:tcPr>
                <w:p w14:paraId="29F7AAF1">
                  <w:pPr>
                    <w:jc w:val="center"/>
                    <w:rPr>
                      <w:color w:val="000000"/>
                      <w:szCs w:val="21"/>
                      <w:highlight w:val="none"/>
                    </w:rPr>
                  </w:pPr>
                  <w:r>
                    <w:rPr>
                      <w:color w:val="000000"/>
                      <w:szCs w:val="21"/>
                      <w:highlight w:val="none"/>
                    </w:rPr>
                    <w:t>6</w:t>
                  </w:r>
                </w:p>
              </w:tc>
              <w:tc>
                <w:tcPr>
                  <w:tcW w:w="689" w:type="pct"/>
                  <w:tcBorders>
                    <w:top w:val="nil"/>
                    <w:left w:val="nil"/>
                    <w:bottom w:val="single" w:color="auto" w:sz="4" w:space="0"/>
                    <w:right w:val="single" w:color="auto" w:sz="4" w:space="0"/>
                  </w:tcBorders>
                  <w:noWrap/>
                  <w:vAlign w:val="center"/>
                </w:tcPr>
                <w:p w14:paraId="733DEE28">
                  <w:pPr>
                    <w:jc w:val="center"/>
                    <w:rPr>
                      <w:color w:val="000000"/>
                      <w:szCs w:val="21"/>
                      <w:highlight w:val="none"/>
                    </w:rPr>
                  </w:pPr>
                  <w:r>
                    <w:rPr>
                      <w:rFonts w:hAnsi="宋体"/>
                      <w:color w:val="000000"/>
                      <w:szCs w:val="21"/>
                      <w:highlight w:val="none"/>
                    </w:rPr>
                    <w:t>直流电缆</w:t>
                  </w:r>
                </w:p>
              </w:tc>
              <w:tc>
                <w:tcPr>
                  <w:tcW w:w="1540" w:type="pct"/>
                  <w:tcBorders>
                    <w:top w:val="nil"/>
                    <w:left w:val="nil"/>
                    <w:bottom w:val="single" w:color="auto" w:sz="4" w:space="0"/>
                    <w:right w:val="single" w:color="auto" w:sz="4" w:space="0"/>
                  </w:tcBorders>
                  <w:noWrap/>
                  <w:vAlign w:val="center"/>
                </w:tcPr>
                <w:p w14:paraId="29C2889A">
                  <w:pPr>
                    <w:jc w:val="center"/>
                    <w:rPr>
                      <w:color w:val="000000"/>
                      <w:szCs w:val="21"/>
                      <w:highlight w:val="none"/>
                    </w:rPr>
                  </w:pPr>
                  <w:r>
                    <w:rPr>
                      <w:color w:val="000000"/>
                      <w:szCs w:val="21"/>
                      <w:highlight w:val="none"/>
                    </w:rPr>
                    <w:t>ZRC-YJHLV22-2*240m</w:t>
                  </w:r>
                  <w:r>
                    <w:rPr>
                      <w:rFonts w:hAnsi="宋体"/>
                      <w:color w:val="000000"/>
                      <w:szCs w:val="21"/>
                      <w:highlight w:val="none"/>
                    </w:rPr>
                    <w:t>㎡</w:t>
                  </w:r>
                </w:p>
              </w:tc>
              <w:tc>
                <w:tcPr>
                  <w:tcW w:w="350" w:type="pct"/>
                  <w:tcBorders>
                    <w:top w:val="nil"/>
                    <w:left w:val="nil"/>
                    <w:bottom w:val="single" w:color="auto" w:sz="4" w:space="0"/>
                    <w:right w:val="single" w:color="auto" w:sz="4" w:space="0"/>
                  </w:tcBorders>
                  <w:noWrap/>
                  <w:vAlign w:val="center"/>
                </w:tcPr>
                <w:p w14:paraId="3DB13A13">
                  <w:pPr>
                    <w:jc w:val="center"/>
                    <w:rPr>
                      <w:color w:val="000000"/>
                      <w:szCs w:val="21"/>
                      <w:highlight w:val="none"/>
                    </w:rPr>
                  </w:pPr>
                  <w:r>
                    <w:rPr>
                      <w:rFonts w:hAnsi="宋体"/>
                      <w:color w:val="000000"/>
                      <w:szCs w:val="21"/>
                      <w:highlight w:val="none"/>
                    </w:rPr>
                    <w:t>米</w:t>
                  </w:r>
                </w:p>
              </w:tc>
              <w:tc>
                <w:tcPr>
                  <w:tcW w:w="576" w:type="pct"/>
                  <w:tcBorders>
                    <w:top w:val="nil"/>
                    <w:left w:val="nil"/>
                    <w:bottom w:val="single" w:color="auto" w:sz="4" w:space="0"/>
                    <w:right w:val="single" w:color="auto" w:sz="4" w:space="0"/>
                  </w:tcBorders>
                  <w:shd w:val="clear" w:color="auto" w:fill="auto"/>
                  <w:noWrap/>
                  <w:vAlign w:val="center"/>
                </w:tcPr>
                <w:p w14:paraId="30FEFF82">
                  <w:pPr>
                    <w:ind w:left="0" w:leftChars="0" w:right="0" w:rightChars="0"/>
                    <w:jc w:val="center"/>
                    <w:rPr>
                      <w:rFonts w:ascii="宋体" w:hAnsi="宋体" w:eastAsia="宋体" w:cs="宋体"/>
                      <w:color w:val="000000"/>
                      <w:sz w:val="22"/>
                      <w:szCs w:val="21"/>
                      <w:highlight w:val="none"/>
                      <w:lang w:val="en-US" w:eastAsia="en-US" w:bidi="ar-SA"/>
                    </w:rPr>
                  </w:pPr>
                  <w:r>
                    <w:rPr>
                      <w:color w:val="000000"/>
                      <w:szCs w:val="21"/>
                      <w:highlight w:val="none"/>
                    </w:rPr>
                    <w:t>77415</w:t>
                  </w:r>
                </w:p>
              </w:tc>
              <w:tc>
                <w:tcPr>
                  <w:tcW w:w="576" w:type="pct"/>
                  <w:tcBorders>
                    <w:top w:val="nil"/>
                    <w:left w:val="nil"/>
                    <w:bottom w:val="single" w:color="auto" w:sz="4" w:space="0"/>
                    <w:right w:val="single" w:color="auto" w:sz="4" w:space="0"/>
                  </w:tcBorders>
                  <w:noWrap/>
                  <w:vAlign w:val="center"/>
                </w:tcPr>
                <w:p w14:paraId="71B788A6">
                  <w:pPr>
                    <w:keepNext w:val="0"/>
                    <w:keepLines w:val="0"/>
                    <w:widowControl/>
                    <w:suppressLineNumbers w:val="0"/>
                    <w:ind w:left="0" w:leftChars="0" w:right="0" w:rightChars="0"/>
                    <w:jc w:val="center"/>
                    <w:textAlignment w:val="center"/>
                    <w:rPr>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61932</w:t>
                  </w:r>
                </w:p>
              </w:tc>
              <w:tc>
                <w:tcPr>
                  <w:tcW w:w="916" w:type="pct"/>
                  <w:vMerge w:val="continue"/>
                  <w:tcBorders>
                    <w:left w:val="nil"/>
                    <w:right w:val="single" w:color="auto" w:sz="4" w:space="0"/>
                  </w:tcBorders>
                  <w:noWrap/>
                  <w:vAlign w:val="center"/>
                </w:tcPr>
                <w:p w14:paraId="1CEB305F">
                  <w:pPr>
                    <w:jc w:val="center"/>
                    <w:rPr>
                      <w:color w:val="000000"/>
                      <w:szCs w:val="21"/>
                      <w:highlight w:val="none"/>
                    </w:rPr>
                  </w:pPr>
                </w:p>
              </w:tc>
            </w:tr>
            <w:tr w14:paraId="3A818FDD">
              <w:tblPrEx>
                <w:tblCellMar>
                  <w:top w:w="0" w:type="dxa"/>
                  <w:left w:w="108" w:type="dxa"/>
                  <w:bottom w:w="0" w:type="dxa"/>
                  <w:right w:w="108" w:type="dxa"/>
                </w:tblCellMar>
              </w:tblPrEx>
              <w:trPr>
                <w:trHeight w:val="291" w:hRule="atLeast"/>
              </w:trPr>
              <w:tc>
                <w:tcPr>
                  <w:tcW w:w="349" w:type="pct"/>
                  <w:vMerge w:val="restart"/>
                  <w:tcBorders>
                    <w:top w:val="nil"/>
                    <w:left w:val="single" w:color="auto" w:sz="4" w:space="0"/>
                    <w:bottom w:val="single" w:color="000000" w:sz="4" w:space="0"/>
                    <w:right w:val="single" w:color="auto" w:sz="4" w:space="0"/>
                  </w:tcBorders>
                  <w:noWrap/>
                  <w:vAlign w:val="center"/>
                </w:tcPr>
                <w:p w14:paraId="43A3156C">
                  <w:pPr>
                    <w:jc w:val="center"/>
                    <w:rPr>
                      <w:color w:val="000000"/>
                      <w:szCs w:val="21"/>
                      <w:highlight w:val="none"/>
                    </w:rPr>
                  </w:pPr>
                  <w:r>
                    <w:rPr>
                      <w:color w:val="000000"/>
                      <w:szCs w:val="21"/>
                      <w:highlight w:val="none"/>
                    </w:rPr>
                    <w:t>7</w:t>
                  </w:r>
                </w:p>
              </w:tc>
              <w:tc>
                <w:tcPr>
                  <w:tcW w:w="689" w:type="pct"/>
                  <w:vMerge w:val="restart"/>
                  <w:tcBorders>
                    <w:top w:val="nil"/>
                    <w:left w:val="single" w:color="auto" w:sz="4" w:space="0"/>
                    <w:bottom w:val="single" w:color="000000" w:sz="4" w:space="0"/>
                    <w:right w:val="single" w:color="auto" w:sz="4" w:space="0"/>
                  </w:tcBorders>
                  <w:noWrap/>
                  <w:vAlign w:val="center"/>
                </w:tcPr>
                <w:p w14:paraId="3FF91224">
                  <w:pPr>
                    <w:jc w:val="center"/>
                    <w:rPr>
                      <w:color w:val="000000"/>
                      <w:szCs w:val="21"/>
                      <w:highlight w:val="none"/>
                    </w:rPr>
                  </w:pPr>
                  <w:r>
                    <w:rPr>
                      <w:rFonts w:hAnsi="宋体"/>
                      <w:color w:val="000000"/>
                      <w:szCs w:val="21"/>
                      <w:highlight w:val="none"/>
                    </w:rPr>
                    <w:t>高压电缆</w:t>
                  </w:r>
                </w:p>
              </w:tc>
              <w:tc>
                <w:tcPr>
                  <w:tcW w:w="1540" w:type="pct"/>
                  <w:tcBorders>
                    <w:top w:val="nil"/>
                    <w:left w:val="nil"/>
                    <w:bottom w:val="single" w:color="auto" w:sz="4" w:space="0"/>
                    <w:right w:val="single" w:color="auto" w:sz="4" w:space="0"/>
                  </w:tcBorders>
                  <w:noWrap/>
                  <w:vAlign w:val="center"/>
                </w:tcPr>
                <w:p w14:paraId="16840BB9">
                  <w:pPr>
                    <w:jc w:val="center"/>
                    <w:rPr>
                      <w:color w:val="000000"/>
                      <w:szCs w:val="21"/>
                      <w:highlight w:val="none"/>
                    </w:rPr>
                  </w:pPr>
                  <w:r>
                    <w:rPr>
                      <w:color w:val="000000"/>
                      <w:szCs w:val="21"/>
                      <w:highlight w:val="none"/>
                    </w:rPr>
                    <w:t>ZRC-YJHLV22-35kV,3*95m</w:t>
                  </w:r>
                  <w:r>
                    <w:rPr>
                      <w:rFonts w:hAnsi="宋体"/>
                      <w:color w:val="000000"/>
                      <w:szCs w:val="21"/>
                      <w:highlight w:val="none"/>
                    </w:rPr>
                    <w:t>㎡</w:t>
                  </w:r>
                </w:p>
              </w:tc>
              <w:tc>
                <w:tcPr>
                  <w:tcW w:w="350" w:type="pct"/>
                  <w:tcBorders>
                    <w:top w:val="nil"/>
                    <w:left w:val="nil"/>
                    <w:bottom w:val="single" w:color="auto" w:sz="4" w:space="0"/>
                    <w:right w:val="single" w:color="auto" w:sz="4" w:space="0"/>
                  </w:tcBorders>
                  <w:noWrap/>
                  <w:vAlign w:val="center"/>
                </w:tcPr>
                <w:p w14:paraId="52F29874">
                  <w:pPr>
                    <w:jc w:val="center"/>
                    <w:rPr>
                      <w:color w:val="000000"/>
                      <w:szCs w:val="21"/>
                      <w:highlight w:val="none"/>
                    </w:rPr>
                  </w:pPr>
                  <w:r>
                    <w:rPr>
                      <w:rFonts w:hAnsi="宋体"/>
                      <w:color w:val="000000"/>
                      <w:szCs w:val="21"/>
                      <w:highlight w:val="none"/>
                    </w:rPr>
                    <w:t>米</w:t>
                  </w:r>
                </w:p>
              </w:tc>
              <w:tc>
                <w:tcPr>
                  <w:tcW w:w="576" w:type="pct"/>
                  <w:tcBorders>
                    <w:top w:val="nil"/>
                    <w:left w:val="nil"/>
                    <w:bottom w:val="single" w:color="auto" w:sz="4" w:space="0"/>
                    <w:right w:val="single" w:color="auto" w:sz="4" w:space="0"/>
                  </w:tcBorders>
                  <w:shd w:val="clear" w:color="auto" w:fill="auto"/>
                  <w:noWrap/>
                  <w:vAlign w:val="center"/>
                </w:tcPr>
                <w:p w14:paraId="12E14E9A">
                  <w:pPr>
                    <w:ind w:left="0" w:leftChars="0" w:right="0" w:rightChars="0"/>
                    <w:jc w:val="center"/>
                    <w:rPr>
                      <w:rFonts w:ascii="宋体" w:hAnsi="宋体" w:eastAsia="宋体" w:cs="宋体"/>
                      <w:color w:val="000000"/>
                      <w:sz w:val="22"/>
                      <w:szCs w:val="21"/>
                      <w:highlight w:val="none"/>
                      <w:lang w:val="en-US" w:eastAsia="en-US" w:bidi="ar-SA"/>
                    </w:rPr>
                  </w:pPr>
                  <w:r>
                    <w:rPr>
                      <w:color w:val="000000"/>
                      <w:szCs w:val="21"/>
                      <w:highlight w:val="none"/>
                    </w:rPr>
                    <w:t>1100</w:t>
                  </w:r>
                </w:p>
              </w:tc>
              <w:tc>
                <w:tcPr>
                  <w:tcW w:w="576" w:type="pct"/>
                  <w:tcBorders>
                    <w:top w:val="nil"/>
                    <w:left w:val="nil"/>
                    <w:bottom w:val="single" w:color="auto" w:sz="4" w:space="0"/>
                    <w:right w:val="single" w:color="auto" w:sz="4" w:space="0"/>
                  </w:tcBorders>
                  <w:noWrap/>
                  <w:vAlign w:val="center"/>
                </w:tcPr>
                <w:p w14:paraId="211733B5">
                  <w:pPr>
                    <w:keepNext w:val="0"/>
                    <w:keepLines w:val="0"/>
                    <w:widowControl/>
                    <w:suppressLineNumbers w:val="0"/>
                    <w:ind w:left="0" w:leftChars="0" w:right="0" w:rightChars="0"/>
                    <w:jc w:val="center"/>
                    <w:textAlignment w:val="center"/>
                    <w:rPr>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880</w:t>
                  </w:r>
                </w:p>
              </w:tc>
              <w:tc>
                <w:tcPr>
                  <w:tcW w:w="916" w:type="pct"/>
                  <w:vMerge w:val="continue"/>
                  <w:tcBorders>
                    <w:left w:val="nil"/>
                    <w:right w:val="single" w:color="auto" w:sz="4" w:space="0"/>
                  </w:tcBorders>
                  <w:noWrap/>
                  <w:vAlign w:val="center"/>
                </w:tcPr>
                <w:p w14:paraId="1A578DFC">
                  <w:pPr>
                    <w:jc w:val="center"/>
                    <w:rPr>
                      <w:color w:val="000000"/>
                      <w:szCs w:val="21"/>
                      <w:highlight w:val="none"/>
                    </w:rPr>
                  </w:pPr>
                </w:p>
              </w:tc>
            </w:tr>
            <w:tr w14:paraId="467FA307">
              <w:tblPrEx>
                <w:tblCellMar>
                  <w:top w:w="0" w:type="dxa"/>
                  <w:left w:w="108" w:type="dxa"/>
                  <w:bottom w:w="0" w:type="dxa"/>
                  <w:right w:w="108" w:type="dxa"/>
                </w:tblCellMar>
              </w:tblPrEx>
              <w:trPr>
                <w:trHeight w:val="291" w:hRule="atLeast"/>
              </w:trPr>
              <w:tc>
                <w:tcPr>
                  <w:tcW w:w="349" w:type="pct"/>
                  <w:vMerge w:val="continue"/>
                  <w:tcBorders>
                    <w:top w:val="nil"/>
                    <w:left w:val="single" w:color="auto" w:sz="4" w:space="0"/>
                    <w:bottom w:val="single" w:color="000000" w:sz="4" w:space="0"/>
                    <w:right w:val="single" w:color="auto" w:sz="4" w:space="0"/>
                  </w:tcBorders>
                  <w:noWrap w:val="0"/>
                  <w:vAlign w:val="center"/>
                </w:tcPr>
                <w:p w14:paraId="269AB631">
                  <w:pPr>
                    <w:widowControl/>
                    <w:jc w:val="left"/>
                    <w:rPr>
                      <w:color w:val="000000"/>
                      <w:szCs w:val="21"/>
                      <w:highlight w:val="none"/>
                    </w:rPr>
                  </w:pPr>
                </w:p>
              </w:tc>
              <w:tc>
                <w:tcPr>
                  <w:tcW w:w="689" w:type="pct"/>
                  <w:vMerge w:val="continue"/>
                  <w:tcBorders>
                    <w:top w:val="nil"/>
                    <w:left w:val="single" w:color="auto" w:sz="4" w:space="0"/>
                    <w:bottom w:val="single" w:color="000000" w:sz="4" w:space="0"/>
                    <w:right w:val="single" w:color="auto" w:sz="4" w:space="0"/>
                  </w:tcBorders>
                  <w:noWrap w:val="0"/>
                  <w:vAlign w:val="center"/>
                </w:tcPr>
                <w:p w14:paraId="516B7FED">
                  <w:pPr>
                    <w:widowControl/>
                    <w:jc w:val="left"/>
                    <w:rPr>
                      <w:color w:val="000000"/>
                      <w:szCs w:val="21"/>
                      <w:highlight w:val="none"/>
                    </w:rPr>
                  </w:pPr>
                </w:p>
              </w:tc>
              <w:tc>
                <w:tcPr>
                  <w:tcW w:w="1540" w:type="pct"/>
                  <w:tcBorders>
                    <w:top w:val="nil"/>
                    <w:left w:val="nil"/>
                    <w:bottom w:val="single" w:color="auto" w:sz="4" w:space="0"/>
                    <w:right w:val="single" w:color="auto" w:sz="4" w:space="0"/>
                  </w:tcBorders>
                  <w:noWrap/>
                  <w:vAlign w:val="center"/>
                </w:tcPr>
                <w:p w14:paraId="1C1F97A0">
                  <w:pPr>
                    <w:jc w:val="center"/>
                    <w:rPr>
                      <w:color w:val="000000"/>
                      <w:szCs w:val="21"/>
                      <w:highlight w:val="none"/>
                    </w:rPr>
                  </w:pPr>
                  <w:r>
                    <w:rPr>
                      <w:color w:val="000000"/>
                      <w:szCs w:val="21"/>
                      <w:highlight w:val="none"/>
                    </w:rPr>
                    <w:t>ZRC-YJHLV22-35kV,3*150m</w:t>
                  </w:r>
                  <w:r>
                    <w:rPr>
                      <w:rFonts w:hAnsi="宋体"/>
                      <w:color w:val="000000"/>
                      <w:szCs w:val="21"/>
                      <w:highlight w:val="none"/>
                    </w:rPr>
                    <w:t>㎡</w:t>
                  </w:r>
                </w:p>
              </w:tc>
              <w:tc>
                <w:tcPr>
                  <w:tcW w:w="350" w:type="pct"/>
                  <w:tcBorders>
                    <w:top w:val="nil"/>
                    <w:left w:val="nil"/>
                    <w:bottom w:val="single" w:color="auto" w:sz="4" w:space="0"/>
                    <w:right w:val="single" w:color="auto" w:sz="4" w:space="0"/>
                  </w:tcBorders>
                  <w:noWrap/>
                  <w:vAlign w:val="center"/>
                </w:tcPr>
                <w:p w14:paraId="240F4A20">
                  <w:pPr>
                    <w:jc w:val="center"/>
                    <w:rPr>
                      <w:color w:val="000000"/>
                      <w:szCs w:val="21"/>
                      <w:highlight w:val="none"/>
                    </w:rPr>
                  </w:pPr>
                  <w:r>
                    <w:rPr>
                      <w:rFonts w:hAnsi="宋体"/>
                      <w:color w:val="000000"/>
                      <w:szCs w:val="21"/>
                      <w:highlight w:val="none"/>
                    </w:rPr>
                    <w:t>米</w:t>
                  </w:r>
                </w:p>
              </w:tc>
              <w:tc>
                <w:tcPr>
                  <w:tcW w:w="576" w:type="pct"/>
                  <w:tcBorders>
                    <w:top w:val="nil"/>
                    <w:left w:val="nil"/>
                    <w:bottom w:val="single" w:color="auto" w:sz="4" w:space="0"/>
                    <w:right w:val="single" w:color="auto" w:sz="4" w:space="0"/>
                  </w:tcBorders>
                  <w:shd w:val="clear" w:color="auto" w:fill="auto"/>
                  <w:noWrap/>
                  <w:vAlign w:val="center"/>
                </w:tcPr>
                <w:p w14:paraId="1B4A5EFC">
                  <w:pPr>
                    <w:ind w:left="0" w:leftChars="0" w:right="0" w:rightChars="0"/>
                    <w:jc w:val="center"/>
                    <w:rPr>
                      <w:rFonts w:ascii="宋体" w:hAnsi="宋体" w:eastAsia="宋体" w:cs="宋体"/>
                      <w:color w:val="000000"/>
                      <w:sz w:val="22"/>
                      <w:szCs w:val="21"/>
                      <w:highlight w:val="none"/>
                      <w:lang w:val="en-US" w:eastAsia="en-US" w:bidi="ar-SA"/>
                    </w:rPr>
                  </w:pPr>
                  <w:r>
                    <w:rPr>
                      <w:color w:val="000000"/>
                      <w:szCs w:val="21"/>
                      <w:highlight w:val="none"/>
                    </w:rPr>
                    <w:t>600</w:t>
                  </w:r>
                </w:p>
              </w:tc>
              <w:tc>
                <w:tcPr>
                  <w:tcW w:w="576" w:type="pct"/>
                  <w:tcBorders>
                    <w:top w:val="nil"/>
                    <w:left w:val="nil"/>
                    <w:bottom w:val="single" w:color="auto" w:sz="4" w:space="0"/>
                    <w:right w:val="single" w:color="auto" w:sz="4" w:space="0"/>
                  </w:tcBorders>
                  <w:noWrap/>
                  <w:vAlign w:val="center"/>
                </w:tcPr>
                <w:p w14:paraId="29951D24">
                  <w:pPr>
                    <w:keepNext w:val="0"/>
                    <w:keepLines w:val="0"/>
                    <w:widowControl/>
                    <w:suppressLineNumbers w:val="0"/>
                    <w:ind w:left="0" w:leftChars="0" w:right="0" w:rightChars="0"/>
                    <w:jc w:val="center"/>
                    <w:textAlignment w:val="center"/>
                    <w:rPr>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480</w:t>
                  </w:r>
                </w:p>
              </w:tc>
              <w:tc>
                <w:tcPr>
                  <w:tcW w:w="916" w:type="pct"/>
                  <w:vMerge w:val="continue"/>
                  <w:tcBorders>
                    <w:left w:val="nil"/>
                    <w:right w:val="single" w:color="auto" w:sz="4" w:space="0"/>
                  </w:tcBorders>
                  <w:noWrap/>
                  <w:vAlign w:val="center"/>
                </w:tcPr>
                <w:p w14:paraId="2A5F105B">
                  <w:pPr>
                    <w:jc w:val="center"/>
                    <w:rPr>
                      <w:color w:val="000000"/>
                      <w:szCs w:val="21"/>
                      <w:highlight w:val="none"/>
                    </w:rPr>
                  </w:pPr>
                </w:p>
              </w:tc>
            </w:tr>
            <w:tr w14:paraId="339133C6">
              <w:tblPrEx>
                <w:tblCellMar>
                  <w:top w:w="0" w:type="dxa"/>
                  <w:left w:w="108" w:type="dxa"/>
                  <w:bottom w:w="0" w:type="dxa"/>
                  <w:right w:w="108" w:type="dxa"/>
                </w:tblCellMar>
              </w:tblPrEx>
              <w:trPr>
                <w:trHeight w:val="291" w:hRule="atLeast"/>
              </w:trPr>
              <w:tc>
                <w:tcPr>
                  <w:tcW w:w="349" w:type="pct"/>
                  <w:vMerge w:val="continue"/>
                  <w:tcBorders>
                    <w:top w:val="nil"/>
                    <w:left w:val="single" w:color="auto" w:sz="4" w:space="0"/>
                    <w:bottom w:val="single" w:color="000000" w:sz="4" w:space="0"/>
                    <w:right w:val="single" w:color="auto" w:sz="4" w:space="0"/>
                  </w:tcBorders>
                  <w:noWrap w:val="0"/>
                  <w:vAlign w:val="center"/>
                </w:tcPr>
                <w:p w14:paraId="12D4B5C1">
                  <w:pPr>
                    <w:widowControl/>
                    <w:jc w:val="left"/>
                    <w:rPr>
                      <w:color w:val="000000"/>
                      <w:szCs w:val="21"/>
                      <w:highlight w:val="none"/>
                    </w:rPr>
                  </w:pPr>
                </w:p>
              </w:tc>
              <w:tc>
                <w:tcPr>
                  <w:tcW w:w="689" w:type="pct"/>
                  <w:vMerge w:val="continue"/>
                  <w:tcBorders>
                    <w:top w:val="nil"/>
                    <w:left w:val="single" w:color="auto" w:sz="4" w:space="0"/>
                    <w:bottom w:val="single" w:color="000000" w:sz="4" w:space="0"/>
                    <w:right w:val="single" w:color="auto" w:sz="4" w:space="0"/>
                  </w:tcBorders>
                  <w:noWrap w:val="0"/>
                  <w:vAlign w:val="center"/>
                </w:tcPr>
                <w:p w14:paraId="2D314E86">
                  <w:pPr>
                    <w:widowControl/>
                    <w:jc w:val="left"/>
                    <w:rPr>
                      <w:color w:val="000000"/>
                      <w:szCs w:val="21"/>
                      <w:highlight w:val="none"/>
                    </w:rPr>
                  </w:pPr>
                </w:p>
              </w:tc>
              <w:tc>
                <w:tcPr>
                  <w:tcW w:w="1540" w:type="pct"/>
                  <w:tcBorders>
                    <w:top w:val="nil"/>
                    <w:left w:val="nil"/>
                    <w:bottom w:val="single" w:color="auto" w:sz="4" w:space="0"/>
                    <w:right w:val="single" w:color="auto" w:sz="4" w:space="0"/>
                  </w:tcBorders>
                  <w:noWrap/>
                  <w:vAlign w:val="center"/>
                </w:tcPr>
                <w:p w14:paraId="76D6FBAD">
                  <w:pPr>
                    <w:jc w:val="center"/>
                    <w:rPr>
                      <w:color w:val="000000"/>
                      <w:szCs w:val="21"/>
                      <w:highlight w:val="none"/>
                    </w:rPr>
                  </w:pPr>
                  <w:r>
                    <w:rPr>
                      <w:color w:val="000000"/>
                      <w:szCs w:val="21"/>
                      <w:highlight w:val="none"/>
                    </w:rPr>
                    <w:t>ZRC-YJHLV22-35kV,3*240mm</w:t>
                  </w:r>
                  <w:r>
                    <w:rPr>
                      <w:color w:val="000000"/>
                      <w:szCs w:val="21"/>
                      <w:highlight w:val="none"/>
                      <w:vertAlign w:val="superscript"/>
                    </w:rPr>
                    <w:t>3</w:t>
                  </w:r>
                </w:p>
              </w:tc>
              <w:tc>
                <w:tcPr>
                  <w:tcW w:w="350" w:type="pct"/>
                  <w:tcBorders>
                    <w:top w:val="nil"/>
                    <w:left w:val="nil"/>
                    <w:bottom w:val="single" w:color="auto" w:sz="4" w:space="0"/>
                    <w:right w:val="single" w:color="auto" w:sz="4" w:space="0"/>
                  </w:tcBorders>
                  <w:noWrap/>
                  <w:vAlign w:val="center"/>
                </w:tcPr>
                <w:p w14:paraId="676F6C31">
                  <w:pPr>
                    <w:jc w:val="center"/>
                    <w:rPr>
                      <w:color w:val="000000"/>
                      <w:szCs w:val="21"/>
                      <w:highlight w:val="none"/>
                    </w:rPr>
                  </w:pPr>
                  <w:r>
                    <w:rPr>
                      <w:rFonts w:hAnsi="宋体"/>
                      <w:color w:val="000000"/>
                      <w:szCs w:val="21"/>
                      <w:highlight w:val="none"/>
                    </w:rPr>
                    <w:t>米</w:t>
                  </w:r>
                </w:p>
              </w:tc>
              <w:tc>
                <w:tcPr>
                  <w:tcW w:w="576" w:type="pct"/>
                  <w:tcBorders>
                    <w:top w:val="nil"/>
                    <w:left w:val="nil"/>
                    <w:bottom w:val="single" w:color="auto" w:sz="4" w:space="0"/>
                    <w:right w:val="single" w:color="auto" w:sz="4" w:space="0"/>
                  </w:tcBorders>
                  <w:shd w:val="clear" w:color="auto" w:fill="auto"/>
                  <w:noWrap/>
                  <w:vAlign w:val="center"/>
                </w:tcPr>
                <w:p w14:paraId="5912EC1E">
                  <w:pPr>
                    <w:ind w:left="0" w:leftChars="0" w:right="0" w:rightChars="0"/>
                    <w:jc w:val="center"/>
                    <w:rPr>
                      <w:rFonts w:ascii="宋体" w:hAnsi="宋体" w:eastAsia="宋体" w:cs="宋体"/>
                      <w:color w:val="000000"/>
                      <w:sz w:val="22"/>
                      <w:szCs w:val="21"/>
                      <w:highlight w:val="none"/>
                      <w:lang w:val="en-US" w:eastAsia="en-US" w:bidi="ar-SA"/>
                    </w:rPr>
                  </w:pPr>
                  <w:r>
                    <w:rPr>
                      <w:color w:val="000000"/>
                      <w:szCs w:val="21"/>
                      <w:highlight w:val="none"/>
                    </w:rPr>
                    <w:t>11000</w:t>
                  </w:r>
                </w:p>
              </w:tc>
              <w:tc>
                <w:tcPr>
                  <w:tcW w:w="576" w:type="pct"/>
                  <w:tcBorders>
                    <w:top w:val="nil"/>
                    <w:left w:val="nil"/>
                    <w:bottom w:val="single" w:color="auto" w:sz="4" w:space="0"/>
                    <w:right w:val="single" w:color="auto" w:sz="4" w:space="0"/>
                  </w:tcBorders>
                  <w:noWrap/>
                  <w:vAlign w:val="center"/>
                </w:tcPr>
                <w:p w14:paraId="63295598">
                  <w:pPr>
                    <w:keepNext w:val="0"/>
                    <w:keepLines w:val="0"/>
                    <w:widowControl/>
                    <w:suppressLineNumbers w:val="0"/>
                    <w:ind w:left="0" w:leftChars="0" w:right="0" w:rightChars="0"/>
                    <w:jc w:val="center"/>
                    <w:textAlignment w:val="center"/>
                    <w:rPr>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8800</w:t>
                  </w:r>
                </w:p>
              </w:tc>
              <w:tc>
                <w:tcPr>
                  <w:tcW w:w="916" w:type="pct"/>
                  <w:vMerge w:val="continue"/>
                  <w:tcBorders>
                    <w:left w:val="nil"/>
                    <w:right w:val="single" w:color="auto" w:sz="4" w:space="0"/>
                  </w:tcBorders>
                  <w:noWrap/>
                  <w:vAlign w:val="center"/>
                </w:tcPr>
                <w:p w14:paraId="099ED341">
                  <w:pPr>
                    <w:jc w:val="center"/>
                    <w:rPr>
                      <w:color w:val="000000"/>
                      <w:szCs w:val="21"/>
                      <w:highlight w:val="none"/>
                    </w:rPr>
                  </w:pPr>
                </w:p>
              </w:tc>
            </w:tr>
            <w:tr w14:paraId="2379A235">
              <w:tblPrEx>
                <w:tblCellMar>
                  <w:top w:w="0" w:type="dxa"/>
                  <w:left w:w="108" w:type="dxa"/>
                  <w:bottom w:w="0" w:type="dxa"/>
                  <w:right w:w="108" w:type="dxa"/>
                </w:tblCellMar>
              </w:tblPrEx>
              <w:trPr>
                <w:trHeight w:val="291" w:hRule="atLeast"/>
              </w:trPr>
              <w:tc>
                <w:tcPr>
                  <w:tcW w:w="349" w:type="pct"/>
                  <w:vMerge w:val="continue"/>
                  <w:tcBorders>
                    <w:top w:val="nil"/>
                    <w:left w:val="single" w:color="auto" w:sz="4" w:space="0"/>
                    <w:bottom w:val="single" w:color="000000" w:sz="4" w:space="0"/>
                    <w:right w:val="single" w:color="auto" w:sz="4" w:space="0"/>
                  </w:tcBorders>
                  <w:noWrap w:val="0"/>
                  <w:vAlign w:val="center"/>
                </w:tcPr>
                <w:p w14:paraId="4711ED57">
                  <w:pPr>
                    <w:widowControl/>
                    <w:jc w:val="left"/>
                    <w:rPr>
                      <w:color w:val="000000"/>
                      <w:szCs w:val="21"/>
                      <w:highlight w:val="none"/>
                    </w:rPr>
                  </w:pPr>
                </w:p>
              </w:tc>
              <w:tc>
                <w:tcPr>
                  <w:tcW w:w="689" w:type="pct"/>
                  <w:vMerge w:val="continue"/>
                  <w:tcBorders>
                    <w:top w:val="nil"/>
                    <w:left w:val="single" w:color="auto" w:sz="4" w:space="0"/>
                    <w:bottom w:val="single" w:color="000000" w:sz="4" w:space="0"/>
                    <w:right w:val="single" w:color="auto" w:sz="4" w:space="0"/>
                  </w:tcBorders>
                  <w:noWrap w:val="0"/>
                  <w:vAlign w:val="center"/>
                </w:tcPr>
                <w:p w14:paraId="6C91ABD9">
                  <w:pPr>
                    <w:widowControl/>
                    <w:jc w:val="left"/>
                    <w:rPr>
                      <w:color w:val="000000"/>
                      <w:szCs w:val="21"/>
                      <w:highlight w:val="none"/>
                    </w:rPr>
                  </w:pPr>
                </w:p>
              </w:tc>
              <w:tc>
                <w:tcPr>
                  <w:tcW w:w="1540" w:type="pct"/>
                  <w:tcBorders>
                    <w:top w:val="nil"/>
                    <w:left w:val="nil"/>
                    <w:bottom w:val="single" w:color="auto" w:sz="4" w:space="0"/>
                    <w:right w:val="single" w:color="auto" w:sz="4" w:space="0"/>
                  </w:tcBorders>
                  <w:noWrap/>
                  <w:vAlign w:val="center"/>
                </w:tcPr>
                <w:p w14:paraId="3ADE0DB7">
                  <w:pPr>
                    <w:jc w:val="center"/>
                    <w:rPr>
                      <w:color w:val="000000"/>
                      <w:szCs w:val="21"/>
                      <w:highlight w:val="none"/>
                    </w:rPr>
                  </w:pPr>
                  <w:r>
                    <w:rPr>
                      <w:color w:val="000000"/>
                      <w:szCs w:val="21"/>
                      <w:highlight w:val="none"/>
                    </w:rPr>
                    <w:t>ZRC-YJHLV22-35kV,3*300mm</w:t>
                  </w:r>
                  <w:r>
                    <w:rPr>
                      <w:color w:val="000000"/>
                      <w:szCs w:val="21"/>
                      <w:highlight w:val="none"/>
                      <w:vertAlign w:val="superscript"/>
                    </w:rPr>
                    <w:t>3</w:t>
                  </w:r>
                </w:p>
              </w:tc>
              <w:tc>
                <w:tcPr>
                  <w:tcW w:w="350" w:type="pct"/>
                  <w:tcBorders>
                    <w:top w:val="nil"/>
                    <w:left w:val="nil"/>
                    <w:bottom w:val="single" w:color="auto" w:sz="4" w:space="0"/>
                    <w:right w:val="single" w:color="auto" w:sz="4" w:space="0"/>
                  </w:tcBorders>
                  <w:noWrap/>
                  <w:vAlign w:val="center"/>
                </w:tcPr>
                <w:p w14:paraId="4858598B">
                  <w:pPr>
                    <w:jc w:val="center"/>
                    <w:rPr>
                      <w:color w:val="000000"/>
                      <w:szCs w:val="21"/>
                      <w:highlight w:val="none"/>
                    </w:rPr>
                  </w:pPr>
                  <w:r>
                    <w:rPr>
                      <w:rFonts w:hAnsi="宋体"/>
                      <w:color w:val="000000"/>
                      <w:szCs w:val="21"/>
                      <w:highlight w:val="none"/>
                    </w:rPr>
                    <w:t>米</w:t>
                  </w:r>
                </w:p>
              </w:tc>
              <w:tc>
                <w:tcPr>
                  <w:tcW w:w="576" w:type="pct"/>
                  <w:tcBorders>
                    <w:top w:val="nil"/>
                    <w:left w:val="nil"/>
                    <w:bottom w:val="single" w:color="auto" w:sz="4" w:space="0"/>
                    <w:right w:val="single" w:color="auto" w:sz="4" w:space="0"/>
                  </w:tcBorders>
                  <w:shd w:val="clear" w:color="auto" w:fill="auto"/>
                  <w:noWrap/>
                  <w:vAlign w:val="center"/>
                </w:tcPr>
                <w:p w14:paraId="710DF7A2">
                  <w:pPr>
                    <w:ind w:left="0" w:leftChars="0" w:right="0" w:rightChars="0"/>
                    <w:jc w:val="center"/>
                    <w:rPr>
                      <w:rFonts w:ascii="宋体" w:hAnsi="宋体" w:eastAsia="宋体" w:cs="宋体"/>
                      <w:color w:val="000000"/>
                      <w:sz w:val="22"/>
                      <w:szCs w:val="21"/>
                      <w:highlight w:val="none"/>
                      <w:lang w:val="en-US" w:eastAsia="en-US" w:bidi="ar-SA"/>
                    </w:rPr>
                  </w:pPr>
                  <w:r>
                    <w:rPr>
                      <w:color w:val="000000"/>
                      <w:szCs w:val="21"/>
                      <w:highlight w:val="none"/>
                    </w:rPr>
                    <w:t>200</w:t>
                  </w:r>
                </w:p>
              </w:tc>
              <w:tc>
                <w:tcPr>
                  <w:tcW w:w="576" w:type="pct"/>
                  <w:tcBorders>
                    <w:top w:val="nil"/>
                    <w:left w:val="nil"/>
                    <w:bottom w:val="single" w:color="auto" w:sz="4" w:space="0"/>
                    <w:right w:val="single" w:color="auto" w:sz="4" w:space="0"/>
                  </w:tcBorders>
                  <w:noWrap/>
                  <w:vAlign w:val="center"/>
                </w:tcPr>
                <w:p w14:paraId="14A7C963">
                  <w:pPr>
                    <w:keepNext w:val="0"/>
                    <w:keepLines w:val="0"/>
                    <w:widowControl/>
                    <w:suppressLineNumbers w:val="0"/>
                    <w:ind w:left="0" w:leftChars="0" w:right="0" w:rightChars="0"/>
                    <w:jc w:val="center"/>
                    <w:textAlignment w:val="center"/>
                    <w:rPr>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160</w:t>
                  </w:r>
                </w:p>
              </w:tc>
              <w:tc>
                <w:tcPr>
                  <w:tcW w:w="916" w:type="pct"/>
                  <w:vMerge w:val="continue"/>
                  <w:tcBorders>
                    <w:left w:val="nil"/>
                    <w:right w:val="single" w:color="auto" w:sz="4" w:space="0"/>
                  </w:tcBorders>
                  <w:noWrap/>
                  <w:vAlign w:val="center"/>
                </w:tcPr>
                <w:p w14:paraId="6CBAC71C">
                  <w:pPr>
                    <w:jc w:val="center"/>
                    <w:rPr>
                      <w:color w:val="000000"/>
                      <w:szCs w:val="21"/>
                      <w:highlight w:val="none"/>
                    </w:rPr>
                  </w:pPr>
                </w:p>
              </w:tc>
            </w:tr>
            <w:tr w14:paraId="20B4B858">
              <w:tblPrEx>
                <w:tblCellMar>
                  <w:top w:w="0" w:type="dxa"/>
                  <w:left w:w="108" w:type="dxa"/>
                  <w:bottom w:w="0" w:type="dxa"/>
                  <w:right w:w="108" w:type="dxa"/>
                </w:tblCellMar>
              </w:tblPrEx>
              <w:trPr>
                <w:trHeight w:val="291" w:hRule="atLeast"/>
              </w:trPr>
              <w:tc>
                <w:tcPr>
                  <w:tcW w:w="349" w:type="pct"/>
                  <w:tcBorders>
                    <w:top w:val="nil"/>
                    <w:left w:val="single" w:color="auto" w:sz="4" w:space="0"/>
                    <w:bottom w:val="single" w:color="auto" w:sz="4" w:space="0"/>
                    <w:right w:val="single" w:color="auto" w:sz="4" w:space="0"/>
                  </w:tcBorders>
                  <w:noWrap/>
                  <w:vAlign w:val="center"/>
                </w:tcPr>
                <w:p w14:paraId="6BB14BAE">
                  <w:pPr>
                    <w:jc w:val="center"/>
                    <w:rPr>
                      <w:color w:val="000000"/>
                      <w:szCs w:val="21"/>
                      <w:highlight w:val="none"/>
                    </w:rPr>
                  </w:pPr>
                  <w:r>
                    <w:rPr>
                      <w:color w:val="000000"/>
                      <w:szCs w:val="21"/>
                      <w:highlight w:val="none"/>
                    </w:rPr>
                    <w:t>8</w:t>
                  </w:r>
                </w:p>
              </w:tc>
              <w:tc>
                <w:tcPr>
                  <w:tcW w:w="689" w:type="pct"/>
                  <w:tcBorders>
                    <w:top w:val="nil"/>
                    <w:left w:val="nil"/>
                    <w:bottom w:val="single" w:color="auto" w:sz="4" w:space="0"/>
                    <w:right w:val="single" w:color="auto" w:sz="4" w:space="0"/>
                  </w:tcBorders>
                  <w:noWrap/>
                  <w:vAlign w:val="center"/>
                </w:tcPr>
                <w:p w14:paraId="73C846EA">
                  <w:pPr>
                    <w:jc w:val="center"/>
                    <w:rPr>
                      <w:color w:val="000000"/>
                      <w:szCs w:val="21"/>
                      <w:highlight w:val="none"/>
                    </w:rPr>
                  </w:pPr>
                  <w:r>
                    <w:rPr>
                      <w:rFonts w:hAnsi="宋体"/>
                      <w:color w:val="000000"/>
                      <w:szCs w:val="21"/>
                      <w:highlight w:val="none"/>
                    </w:rPr>
                    <w:t>箱变基础</w:t>
                  </w:r>
                </w:p>
              </w:tc>
              <w:tc>
                <w:tcPr>
                  <w:tcW w:w="1540" w:type="pct"/>
                  <w:tcBorders>
                    <w:top w:val="nil"/>
                    <w:left w:val="nil"/>
                    <w:bottom w:val="single" w:color="auto" w:sz="4" w:space="0"/>
                    <w:right w:val="single" w:color="auto" w:sz="4" w:space="0"/>
                  </w:tcBorders>
                  <w:noWrap/>
                  <w:vAlign w:val="center"/>
                </w:tcPr>
                <w:p w14:paraId="5B103306">
                  <w:pPr>
                    <w:jc w:val="center"/>
                    <w:rPr>
                      <w:color w:val="000000"/>
                      <w:szCs w:val="21"/>
                      <w:highlight w:val="none"/>
                    </w:rPr>
                  </w:pPr>
                  <w:r>
                    <w:rPr>
                      <w:rFonts w:hAnsi="宋体"/>
                      <w:color w:val="000000"/>
                      <w:szCs w:val="21"/>
                      <w:highlight w:val="none"/>
                    </w:rPr>
                    <w:t>　</w:t>
                  </w:r>
                </w:p>
              </w:tc>
              <w:tc>
                <w:tcPr>
                  <w:tcW w:w="350" w:type="pct"/>
                  <w:tcBorders>
                    <w:top w:val="nil"/>
                    <w:left w:val="nil"/>
                    <w:bottom w:val="single" w:color="auto" w:sz="4" w:space="0"/>
                    <w:right w:val="single" w:color="auto" w:sz="4" w:space="0"/>
                  </w:tcBorders>
                  <w:noWrap/>
                  <w:vAlign w:val="center"/>
                </w:tcPr>
                <w:p w14:paraId="09CEC129">
                  <w:pPr>
                    <w:jc w:val="center"/>
                    <w:rPr>
                      <w:color w:val="000000"/>
                      <w:szCs w:val="21"/>
                      <w:highlight w:val="none"/>
                    </w:rPr>
                  </w:pPr>
                  <w:r>
                    <w:rPr>
                      <w:rFonts w:hAnsi="宋体"/>
                      <w:color w:val="000000"/>
                      <w:szCs w:val="21"/>
                      <w:highlight w:val="none"/>
                    </w:rPr>
                    <w:t>台</w:t>
                  </w:r>
                </w:p>
              </w:tc>
              <w:tc>
                <w:tcPr>
                  <w:tcW w:w="576" w:type="pct"/>
                  <w:tcBorders>
                    <w:top w:val="nil"/>
                    <w:left w:val="nil"/>
                    <w:bottom w:val="single" w:color="auto" w:sz="4" w:space="0"/>
                    <w:right w:val="single" w:color="auto" w:sz="4" w:space="0"/>
                  </w:tcBorders>
                  <w:shd w:val="clear" w:color="auto" w:fill="auto"/>
                  <w:noWrap/>
                  <w:vAlign w:val="center"/>
                </w:tcPr>
                <w:p w14:paraId="02AC80B4">
                  <w:pPr>
                    <w:ind w:left="0" w:leftChars="0" w:right="0" w:rightChars="0"/>
                    <w:jc w:val="center"/>
                    <w:rPr>
                      <w:rFonts w:ascii="宋体" w:hAnsi="宋体" w:eastAsia="宋体" w:cs="宋体"/>
                      <w:color w:val="000000"/>
                      <w:sz w:val="22"/>
                      <w:szCs w:val="21"/>
                      <w:highlight w:val="none"/>
                      <w:lang w:val="en-US" w:eastAsia="en-US" w:bidi="ar-SA"/>
                    </w:rPr>
                  </w:pPr>
                  <w:r>
                    <w:rPr>
                      <w:color w:val="000000"/>
                      <w:szCs w:val="21"/>
                      <w:highlight w:val="none"/>
                    </w:rPr>
                    <w:t>39</w:t>
                  </w:r>
                </w:p>
              </w:tc>
              <w:tc>
                <w:tcPr>
                  <w:tcW w:w="576" w:type="pct"/>
                  <w:tcBorders>
                    <w:top w:val="nil"/>
                    <w:left w:val="nil"/>
                    <w:bottom w:val="single" w:color="auto" w:sz="4" w:space="0"/>
                    <w:right w:val="single" w:color="auto" w:sz="4" w:space="0"/>
                  </w:tcBorders>
                  <w:noWrap/>
                  <w:vAlign w:val="center"/>
                </w:tcPr>
                <w:p w14:paraId="7C9B786E">
                  <w:pPr>
                    <w:keepNext w:val="0"/>
                    <w:keepLines w:val="0"/>
                    <w:widowControl/>
                    <w:suppressLineNumbers w:val="0"/>
                    <w:ind w:left="0" w:leftChars="0" w:right="0" w:rightChars="0"/>
                    <w:jc w:val="center"/>
                    <w:textAlignment w:val="center"/>
                    <w:rPr>
                      <w:color w:val="000000"/>
                      <w:szCs w:val="21"/>
                      <w:highlight w:val="none"/>
                    </w:rPr>
                  </w:pPr>
                  <w:r>
                    <w:rPr>
                      <w:rFonts w:hint="eastAsia" w:ascii="宋体" w:hAnsi="宋体" w:eastAsia="宋体" w:cs="宋体"/>
                      <w:i w:val="0"/>
                      <w:iCs w:val="0"/>
                      <w:color w:val="000000"/>
                      <w:kern w:val="0"/>
                      <w:sz w:val="22"/>
                      <w:szCs w:val="22"/>
                      <w:highlight w:val="none"/>
                      <w:u w:val="none"/>
                      <w:lang w:val="en-US" w:eastAsia="zh-CN" w:bidi="ar"/>
                    </w:rPr>
                    <w:t>31</w:t>
                  </w:r>
                </w:p>
              </w:tc>
              <w:tc>
                <w:tcPr>
                  <w:tcW w:w="916" w:type="pct"/>
                  <w:vMerge w:val="continue"/>
                  <w:tcBorders>
                    <w:left w:val="nil"/>
                    <w:bottom w:val="single" w:color="auto" w:sz="4" w:space="0"/>
                    <w:right w:val="single" w:color="auto" w:sz="4" w:space="0"/>
                  </w:tcBorders>
                  <w:noWrap/>
                  <w:vAlign w:val="center"/>
                </w:tcPr>
                <w:p w14:paraId="2157AADF">
                  <w:pPr>
                    <w:jc w:val="center"/>
                    <w:rPr>
                      <w:color w:val="000000"/>
                      <w:szCs w:val="21"/>
                      <w:highlight w:val="none"/>
                    </w:rPr>
                  </w:pPr>
                </w:p>
              </w:tc>
            </w:tr>
          </w:tbl>
          <w:p w14:paraId="0E261EAE">
            <w:pPr>
              <w:pStyle w:val="22"/>
              <w:spacing w:before="1"/>
              <w:rPr>
                <w:b/>
                <w:sz w:val="24"/>
                <w:highlight w:val="none"/>
              </w:rPr>
            </w:pPr>
          </w:p>
          <w:p w14:paraId="2963559D">
            <w:pPr>
              <w:pStyle w:val="22"/>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sz w:val="24"/>
                <w:highlight w:val="none"/>
              </w:rPr>
            </w:pPr>
            <w:r>
              <w:rPr>
                <w:rFonts w:ascii="Times New Roman" w:eastAsia="Times New Roman"/>
                <w:sz w:val="24"/>
                <w:highlight w:val="none"/>
              </w:rPr>
              <w:t>3</w:t>
            </w:r>
            <w:r>
              <w:rPr>
                <w:sz w:val="24"/>
                <w:highlight w:val="none"/>
              </w:rPr>
              <w:t>、劳动定员</w:t>
            </w:r>
          </w:p>
          <w:p w14:paraId="1A6F9AF6">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sz w:val="24"/>
                <w:highlight w:val="none"/>
              </w:rPr>
            </w:pPr>
            <w:r>
              <w:rPr>
                <w:rFonts w:hint="eastAsia"/>
                <w:sz w:val="24"/>
                <w:highlight w:val="none"/>
              </w:rPr>
              <w:t>项目劳动定员3人，包括生产运行、设备维护人员，负责生产运行、设备维护人员，均不在厂区食宿，三班制，每班8小时，年工作365天。</w:t>
            </w:r>
          </w:p>
          <w:p w14:paraId="7E2FCF52">
            <w:pPr>
              <w:pStyle w:val="22"/>
              <w:spacing w:before="173"/>
              <w:ind w:left="575"/>
              <w:rPr>
                <w:sz w:val="24"/>
                <w:highlight w:val="none"/>
              </w:rPr>
            </w:pPr>
            <w:r>
              <w:rPr>
                <w:rFonts w:ascii="Times New Roman" w:eastAsia="Times New Roman"/>
                <w:sz w:val="24"/>
                <w:highlight w:val="none"/>
              </w:rPr>
              <w:t>4</w:t>
            </w:r>
            <w:r>
              <w:rPr>
                <w:sz w:val="24"/>
                <w:highlight w:val="none"/>
              </w:rPr>
              <w:t>、现场照片</w:t>
            </w:r>
          </w:p>
          <w:p w14:paraId="5AD1C3D5">
            <w:pPr>
              <w:pStyle w:val="22"/>
              <w:spacing w:before="172"/>
              <w:ind w:left="575"/>
              <w:rPr>
                <w:sz w:val="24"/>
                <w:highlight w:val="none"/>
              </w:rPr>
            </w:pPr>
            <w:r>
              <w:rPr>
                <w:sz w:val="24"/>
                <w:highlight w:val="none"/>
              </w:rPr>
              <w:t>工程现场照片见下图。</w:t>
            </w:r>
          </w:p>
        </w:tc>
      </w:tr>
    </w:tbl>
    <w:p w14:paraId="154FDD08">
      <w:pPr>
        <w:rPr>
          <w:sz w:val="2"/>
          <w:szCs w:val="2"/>
          <w:highlight w:val="none"/>
        </w:rPr>
      </w:pPr>
    </w:p>
    <w:p w14:paraId="694C0EB1">
      <w:pPr>
        <w:spacing w:after="0"/>
        <w:rPr>
          <w:sz w:val="2"/>
          <w:szCs w:val="2"/>
          <w:highlight w:val="none"/>
        </w:rPr>
        <w:sectPr>
          <w:pgSz w:w="11910" w:h="16840"/>
          <w:pgMar w:top="1420" w:right="1440" w:bottom="1340" w:left="1580" w:header="0" w:footer="1160" w:gutter="0"/>
          <w:cols w:space="720" w:num="1"/>
        </w:sectPr>
      </w:pPr>
    </w:p>
    <w:tbl>
      <w:tblPr>
        <w:tblStyle w:val="10"/>
        <w:tblW w:w="5067"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9019"/>
      </w:tblGrid>
      <w:tr w14:paraId="41F2B2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0" w:hRule="atLeast"/>
        </w:trPr>
        <w:tc>
          <w:tcPr>
            <w:tcW w:w="5000" w:type="pct"/>
            <w:tcBorders>
              <w:top w:val="single" w:color="000000" w:sz="4" w:space="0"/>
              <w:left w:val="single" w:color="000000" w:sz="4" w:space="0"/>
              <w:bottom w:val="single" w:color="000000" w:sz="4" w:space="0"/>
              <w:right w:val="single" w:color="000000" w:sz="4" w:space="0"/>
            </w:tcBorders>
          </w:tcPr>
          <w:p w14:paraId="5F8B0080">
            <w:pPr>
              <w:pStyle w:val="22"/>
              <w:ind w:left="112"/>
              <w:rPr>
                <w:rFonts w:hint="eastAsia" w:eastAsia="宋体"/>
                <w:sz w:val="20"/>
                <w:highlight w:val="none"/>
                <w:lang w:eastAsia="zh-CN"/>
              </w:rPr>
            </w:pPr>
            <w:r>
              <w:rPr>
                <w:rFonts w:hint="eastAsia" w:eastAsia="宋体"/>
                <w:sz w:val="20"/>
                <w:highlight w:val="none"/>
                <w:lang w:eastAsia="zh-CN"/>
              </w:rPr>
              <w:drawing>
                <wp:inline distT="0" distB="0" distL="114300" distR="114300">
                  <wp:extent cx="5226685" cy="3924300"/>
                  <wp:effectExtent l="0" t="0" r="12065" b="0"/>
                  <wp:docPr id="5" name="图片 5" descr="6cbd532f47b72c2402431ab2634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cbd532f47b72c2402431ab26342643"/>
                          <pic:cNvPicPr>
                            <a:picLocks noChangeAspect="1"/>
                          </pic:cNvPicPr>
                        </pic:nvPicPr>
                        <pic:blipFill>
                          <a:blip r:embed="rId10"/>
                          <a:stretch>
                            <a:fillRect/>
                          </a:stretch>
                        </pic:blipFill>
                        <pic:spPr>
                          <a:xfrm>
                            <a:off x="0" y="0"/>
                            <a:ext cx="5226685" cy="3924300"/>
                          </a:xfrm>
                          <a:prstGeom prst="rect">
                            <a:avLst/>
                          </a:prstGeom>
                        </pic:spPr>
                      </pic:pic>
                    </a:graphicData>
                  </a:graphic>
                </wp:inline>
              </w:drawing>
            </w:r>
          </w:p>
        </w:tc>
      </w:tr>
      <w:tr w14:paraId="5D21B0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6" w:hRule="atLeast"/>
        </w:trPr>
        <w:tc>
          <w:tcPr>
            <w:tcW w:w="5000" w:type="pct"/>
            <w:tcBorders>
              <w:top w:val="single" w:color="000000" w:sz="4" w:space="0"/>
              <w:left w:val="single" w:color="000000" w:sz="4" w:space="0"/>
              <w:bottom w:val="single" w:color="000000" w:sz="4" w:space="0"/>
              <w:right w:val="single" w:color="000000" w:sz="4" w:space="0"/>
            </w:tcBorders>
          </w:tcPr>
          <w:p w14:paraId="2ECA9DB2">
            <w:pPr>
              <w:pStyle w:val="22"/>
              <w:ind w:left="112"/>
              <w:jc w:val="center"/>
              <w:rPr>
                <w:rFonts w:hint="default" w:eastAsia="宋体"/>
                <w:sz w:val="20"/>
                <w:highlight w:val="none"/>
                <w:lang w:val="en-US" w:eastAsia="zh-CN"/>
              </w:rPr>
            </w:pPr>
            <w:r>
              <w:rPr>
                <w:rFonts w:hint="eastAsia" w:eastAsia="宋体"/>
                <w:sz w:val="20"/>
                <w:highlight w:val="none"/>
                <w:lang w:val="en-US" w:eastAsia="zh-CN"/>
              </w:rPr>
              <w:t>一期场区</w:t>
            </w:r>
          </w:p>
        </w:tc>
      </w:tr>
      <w:tr w14:paraId="16AFD9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0" w:hRule="atLeast"/>
        </w:trPr>
        <w:tc>
          <w:tcPr>
            <w:tcW w:w="5000" w:type="pct"/>
            <w:tcBorders>
              <w:top w:val="single" w:color="000000" w:sz="4" w:space="0"/>
              <w:left w:val="single" w:color="000000" w:sz="4" w:space="0"/>
              <w:bottom w:val="single" w:color="000000" w:sz="4" w:space="0"/>
              <w:right w:val="single" w:color="000000" w:sz="4" w:space="0"/>
            </w:tcBorders>
          </w:tcPr>
          <w:p w14:paraId="7CEFE0C4">
            <w:pPr>
              <w:pStyle w:val="22"/>
              <w:ind w:left="112"/>
              <w:rPr>
                <w:rFonts w:hint="eastAsia" w:eastAsia="宋体"/>
                <w:sz w:val="20"/>
                <w:highlight w:val="none"/>
                <w:lang w:eastAsia="zh-CN"/>
              </w:rPr>
            </w:pPr>
            <w:r>
              <w:rPr>
                <w:rFonts w:hint="eastAsia" w:eastAsia="宋体"/>
                <w:sz w:val="20"/>
                <w:highlight w:val="none"/>
                <w:lang w:eastAsia="zh-CN"/>
              </w:rPr>
              <w:drawing>
                <wp:inline distT="0" distB="0" distL="114300" distR="114300">
                  <wp:extent cx="5637530" cy="4232910"/>
                  <wp:effectExtent l="0" t="0" r="1270" b="15240"/>
                  <wp:docPr id="6" name="图片 6" descr="1cc8decb484cb206984ee3066bb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cc8decb484cb206984ee3066bb6395"/>
                          <pic:cNvPicPr>
                            <a:picLocks noChangeAspect="1"/>
                          </pic:cNvPicPr>
                        </pic:nvPicPr>
                        <pic:blipFill>
                          <a:blip r:embed="rId11"/>
                          <a:stretch>
                            <a:fillRect/>
                          </a:stretch>
                        </pic:blipFill>
                        <pic:spPr>
                          <a:xfrm>
                            <a:off x="0" y="0"/>
                            <a:ext cx="5637530" cy="4232910"/>
                          </a:xfrm>
                          <a:prstGeom prst="rect">
                            <a:avLst/>
                          </a:prstGeom>
                        </pic:spPr>
                      </pic:pic>
                    </a:graphicData>
                  </a:graphic>
                </wp:inline>
              </w:drawing>
            </w:r>
          </w:p>
        </w:tc>
      </w:tr>
      <w:tr w14:paraId="77BD11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000" w:type="pct"/>
            <w:tcBorders>
              <w:top w:val="single" w:color="000000" w:sz="4" w:space="0"/>
              <w:left w:val="single" w:color="000000" w:sz="4" w:space="0"/>
              <w:bottom w:val="single" w:color="000000" w:sz="4" w:space="0"/>
              <w:right w:val="single" w:color="000000" w:sz="4" w:space="0"/>
            </w:tcBorders>
          </w:tcPr>
          <w:p w14:paraId="5D47768E">
            <w:pPr>
              <w:pStyle w:val="22"/>
              <w:spacing w:before="144"/>
              <w:ind w:left="3543" w:right="3511"/>
              <w:jc w:val="center"/>
              <w:rPr>
                <w:rFonts w:hint="default" w:eastAsia="宋体"/>
                <w:sz w:val="24"/>
                <w:highlight w:val="none"/>
                <w:lang w:val="en-US" w:eastAsia="zh-CN"/>
              </w:rPr>
            </w:pPr>
            <w:r>
              <w:rPr>
                <w:rFonts w:hint="eastAsia"/>
                <w:sz w:val="24"/>
                <w:highlight w:val="none"/>
                <w:lang w:val="en-US" w:eastAsia="zh-CN"/>
              </w:rPr>
              <w:t>二期场区</w:t>
            </w:r>
          </w:p>
        </w:tc>
      </w:tr>
      <w:tr w14:paraId="7FEBD8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000" w:type="pct"/>
            <w:tcBorders>
              <w:top w:val="single" w:color="000000" w:sz="4" w:space="0"/>
              <w:left w:val="single" w:color="000000" w:sz="4" w:space="0"/>
              <w:bottom w:val="single" w:color="000000" w:sz="4" w:space="0"/>
              <w:right w:val="single" w:color="000000" w:sz="4" w:space="0"/>
            </w:tcBorders>
          </w:tcPr>
          <w:p w14:paraId="40BD1604">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sz w:val="24"/>
                <w:highlight w:val="none"/>
                <w:lang w:val="en-US" w:eastAsia="zh-CN"/>
              </w:rPr>
            </w:pPr>
            <w:r>
              <w:rPr>
                <w:rFonts w:hint="eastAsia"/>
                <w:sz w:val="24"/>
                <w:highlight w:val="none"/>
                <w:lang w:val="en-US" w:eastAsia="zh-CN"/>
              </w:rPr>
              <w:drawing>
                <wp:inline distT="0" distB="0" distL="114300" distR="114300">
                  <wp:extent cx="5696585" cy="4277360"/>
                  <wp:effectExtent l="0" t="0" r="18415" b="8890"/>
                  <wp:docPr id="8" name="图片 8" descr="68f54dbdf2b8b915f66e9c67435b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8f54dbdf2b8b915f66e9c67435b06f"/>
                          <pic:cNvPicPr>
                            <a:picLocks noChangeAspect="1"/>
                          </pic:cNvPicPr>
                        </pic:nvPicPr>
                        <pic:blipFill>
                          <a:blip r:embed="rId12"/>
                          <a:stretch>
                            <a:fillRect/>
                          </a:stretch>
                        </pic:blipFill>
                        <pic:spPr>
                          <a:xfrm>
                            <a:off x="0" y="0"/>
                            <a:ext cx="5696585" cy="4277360"/>
                          </a:xfrm>
                          <a:prstGeom prst="rect">
                            <a:avLst/>
                          </a:prstGeom>
                        </pic:spPr>
                      </pic:pic>
                    </a:graphicData>
                  </a:graphic>
                </wp:inline>
              </w:drawing>
            </w:r>
          </w:p>
        </w:tc>
      </w:tr>
      <w:tr w14:paraId="7C9BB8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000" w:type="pct"/>
            <w:tcBorders>
              <w:top w:val="single" w:color="000000" w:sz="4" w:space="0"/>
              <w:left w:val="single" w:color="000000" w:sz="4" w:space="0"/>
              <w:bottom w:val="single" w:color="000000" w:sz="4" w:space="0"/>
              <w:right w:val="single" w:color="000000" w:sz="4" w:space="0"/>
            </w:tcBorders>
          </w:tcPr>
          <w:p w14:paraId="71A25615">
            <w:pPr>
              <w:pStyle w:val="22"/>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sz w:val="24"/>
                <w:highlight w:val="none"/>
                <w:lang w:val="en-US" w:eastAsia="zh-CN"/>
              </w:rPr>
            </w:pPr>
            <w:r>
              <w:rPr>
                <w:rFonts w:hint="eastAsia"/>
                <w:sz w:val="24"/>
                <w:highlight w:val="none"/>
                <w:lang w:val="en-US" w:eastAsia="zh-CN"/>
              </w:rPr>
              <w:t>三期场区</w:t>
            </w:r>
          </w:p>
        </w:tc>
      </w:tr>
    </w:tbl>
    <w:p w14:paraId="12E138F9">
      <w:pPr>
        <w:spacing w:after="0"/>
        <w:rPr>
          <w:rFonts w:ascii="Times New Roman"/>
          <w:sz w:val="22"/>
          <w:highlight w:val="none"/>
        </w:rPr>
        <w:sectPr>
          <w:pgSz w:w="11910" w:h="16840"/>
          <w:pgMar w:top="1420" w:right="1440" w:bottom="1340" w:left="1580" w:header="0" w:footer="1160" w:gutter="0"/>
          <w:cols w:space="720" w:num="1"/>
        </w:sectPr>
      </w:pPr>
    </w:p>
    <w:tbl>
      <w:tblPr>
        <w:tblStyle w:val="10"/>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21"/>
      </w:tblGrid>
      <w:tr w14:paraId="76E686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93" w:hRule="atLeast"/>
        </w:trPr>
        <w:tc>
          <w:tcPr>
            <w:tcW w:w="8521" w:type="dxa"/>
            <w:tcBorders>
              <w:top w:val="single" w:color="000000" w:sz="4" w:space="0"/>
              <w:bottom w:val="single" w:color="000000" w:sz="4" w:space="0"/>
            </w:tcBorders>
          </w:tcPr>
          <w:p w14:paraId="6BF3C85C">
            <w:pPr>
              <w:pStyle w:val="22"/>
              <w:spacing w:before="181" w:line="374" w:lineRule="auto"/>
              <w:ind w:left="587" w:right="2151" w:hanging="372"/>
              <w:rPr>
                <w:b/>
                <w:sz w:val="24"/>
                <w:highlight w:val="none"/>
              </w:rPr>
            </w:pPr>
            <w:r>
              <w:rPr>
                <w:b/>
                <w:sz w:val="24"/>
                <w:highlight w:val="none"/>
              </w:rPr>
              <w:t xml:space="preserve">实际工程量及工程建设变化情况： </w:t>
            </w:r>
          </w:p>
          <w:p w14:paraId="34F7DE0E">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6" w:firstLineChars="200"/>
              <w:jc w:val="left"/>
              <w:textAlignment w:val="auto"/>
              <w:rPr>
                <w:sz w:val="24"/>
                <w:highlight w:val="none"/>
              </w:rPr>
            </w:pPr>
            <w:r>
              <w:rPr>
                <w:spacing w:val="-1"/>
                <w:sz w:val="24"/>
                <w:highlight w:val="none"/>
              </w:rPr>
              <w:t>经验收现场调查与建设单位核实，项目存在以下变更：</w:t>
            </w:r>
          </w:p>
          <w:p w14:paraId="0C3A14F7">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sz w:val="24"/>
                <w:highlight w:val="none"/>
              </w:rPr>
            </w:pPr>
            <w:r>
              <w:rPr>
                <w:rFonts w:ascii="Times New Roman" w:eastAsia="Times New Roman"/>
                <w:sz w:val="24"/>
                <w:highlight w:val="none"/>
              </w:rPr>
              <w:t>1</w:t>
            </w:r>
            <w:r>
              <w:rPr>
                <w:sz w:val="24"/>
                <w:highlight w:val="none"/>
              </w:rPr>
              <w:t>、</w:t>
            </w:r>
            <w:r>
              <w:rPr>
                <w:rFonts w:hint="eastAsia"/>
                <w:sz w:val="24"/>
                <w:highlight w:val="none"/>
                <w:lang w:val="en-US" w:eastAsia="zh-CN"/>
              </w:rPr>
              <w:t>因水文地质的影响，部分区域不符合工程条件并未建设，实际占地减少，装机容量减少</w:t>
            </w:r>
            <w:r>
              <w:rPr>
                <w:sz w:val="24"/>
                <w:highlight w:val="none"/>
              </w:rPr>
              <w:t>。</w:t>
            </w:r>
          </w:p>
          <w:p w14:paraId="2342E97B">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firstLineChars="0"/>
              <w:jc w:val="center"/>
              <w:textAlignment w:val="auto"/>
              <w:rPr>
                <w:highlight w:val="none"/>
              </w:rPr>
            </w:pPr>
            <w:r>
              <w:rPr>
                <w:highlight w:val="none"/>
              </w:rPr>
              <w:drawing>
                <wp:inline distT="0" distB="0" distL="114300" distR="114300">
                  <wp:extent cx="5396865" cy="6608445"/>
                  <wp:effectExtent l="0" t="0" r="13335" b="190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5396865" cy="6608445"/>
                          </a:xfrm>
                          <a:prstGeom prst="rect">
                            <a:avLst/>
                          </a:prstGeom>
                          <a:noFill/>
                          <a:ln>
                            <a:noFill/>
                          </a:ln>
                        </pic:spPr>
                      </pic:pic>
                    </a:graphicData>
                  </a:graphic>
                </wp:inline>
              </w:drawing>
            </w:r>
          </w:p>
          <w:p w14:paraId="27EFA306">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firstLineChars="0"/>
              <w:jc w:val="center"/>
              <w:textAlignment w:val="auto"/>
              <w:rPr>
                <w:highlight w:val="none"/>
              </w:rPr>
            </w:pPr>
            <w:r>
              <w:rPr>
                <w:rFonts w:hint="eastAsia"/>
                <w:highlight w:val="none"/>
                <w:lang w:val="en-US" w:eastAsia="zh-CN"/>
              </w:rPr>
              <w:t>图2-2 环评审批占地示意图</w:t>
            </w:r>
            <w:r>
              <w:rPr>
                <w:highlight w:val="none"/>
              </w:rPr>
              <w:drawing>
                <wp:inline distT="0" distB="0" distL="114300" distR="114300">
                  <wp:extent cx="5186045" cy="5862320"/>
                  <wp:effectExtent l="0" t="0" r="14605" b="508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5186045" cy="5862320"/>
                          </a:xfrm>
                          <a:prstGeom prst="rect">
                            <a:avLst/>
                          </a:prstGeom>
                          <a:noFill/>
                          <a:ln>
                            <a:noFill/>
                          </a:ln>
                        </pic:spPr>
                      </pic:pic>
                    </a:graphicData>
                  </a:graphic>
                </wp:inline>
              </w:drawing>
            </w:r>
          </w:p>
          <w:p w14:paraId="50D2B0F7">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firstLineChars="0"/>
              <w:jc w:val="center"/>
              <w:textAlignment w:val="auto"/>
              <w:rPr>
                <w:rFonts w:hint="default"/>
                <w:sz w:val="24"/>
                <w:szCs w:val="24"/>
                <w:highlight w:val="none"/>
                <w:lang w:val="en-US" w:eastAsia="zh-CN"/>
              </w:rPr>
            </w:pPr>
            <w:r>
              <w:rPr>
                <w:rFonts w:hint="eastAsia"/>
                <w:sz w:val="24"/>
                <w:szCs w:val="24"/>
                <w:highlight w:val="none"/>
                <w:lang w:val="en-US" w:eastAsia="zh-CN"/>
              </w:rPr>
              <w:t>图2-3 实际建设占地示意图</w:t>
            </w:r>
          </w:p>
          <w:p w14:paraId="26A17543">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sz w:val="24"/>
                <w:highlight w:val="none"/>
              </w:rPr>
            </w:pPr>
            <w:r>
              <w:rPr>
                <w:sz w:val="24"/>
                <w:highlight w:val="none"/>
              </w:rPr>
              <w:t>根据《关于印发环评管理中部分行业建设项目重大变动清单的通知》（环办〔</w:t>
            </w:r>
            <w:r>
              <w:rPr>
                <w:rFonts w:ascii="Times New Roman" w:eastAsia="Times New Roman"/>
                <w:sz w:val="24"/>
                <w:highlight w:val="none"/>
              </w:rPr>
              <w:t>2015</w:t>
            </w:r>
            <w:r>
              <w:rPr>
                <w:sz w:val="24"/>
                <w:highlight w:val="none"/>
              </w:rPr>
              <w:t>〕</w:t>
            </w:r>
            <w:r>
              <w:rPr>
                <w:rFonts w:ascii="Times New Roman" w:eastAsia="Times New Roman"/>
                <w:sz w:val="24"/>
                <w:highlight w:val="none"/>
              </w:rPr>
              <w:t>52</w:t>
            </w:r>
            <w:r>
              <w:rPr>
                <w:sz w:val="24"/>
                <w:highlight w:val="none"/>
              </w:rPr>
              <w:t>号）、《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14:paraId="01583227">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eastAsia="宋体"/>
                <w:sz w:val="24"/>
                <w:highlight w:val="none"/>
                <w:lang w:eastAsia="zh-CN"/>
              </w:rPr>
            </w:pPr>
            <w:r>
              <w:rPr>
                <w:sz w:val="24"/>
                <w:highlight w:val="none"/>
              </w:rPr>
              <w:t>本项目的</w:t>
            </w:r>
            <w:r>
              <w:rPr>
                <w:rFonts w:hint="eastAsia"/>
                <w:sz w:val="24"/>
                <w:highlight w:val="none"/>
                <w:lang w:val="en-US" w:eastAsia="zh-CN"/>
              </w:rPr>
              <w:t>规模有所减少，不会导致不利环境影响；</w:t>
            </w:r>
            <w:r>
              <w:rPr>
                <w:sz w:val="24"/>
                <w:highlight w:val="none"/>
              </w:rPr>
              <w:t>性质、地点、生产工艺未发生变动，综上所述，本项目不属于重大变动，并将发生变化的纳入本次验收范围</w:t>
            </w:r>
            <w:r>
              <w:rPr>
                <w:rFonts w:hint="eastAsia"/>
                <w:sz w:val="24"/>
                <w:highlight w:val="none"/>
                <w:lang w:eastAsia="zh-CN"/>
              </w:rPr>
              <w:t>。</w:t>
            </w:r>
          </w:p>
        </w:tc>
      </w:tr>
      <w:tr w14:paraId="42029B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93" w:hRule="atLeast"/>
        </w:trPr>
        <w:tc>
          <w:tcPr>
            <w:tcW w:w="8521" w:type="dxa"/>
            <w:tcBorders>
              <w:top w:val="single" w:color="000000" w:sz="4" w:space="0"/>
              <w:bottom w:val="single" w:color="000000" w:sz="4" w:space="0"/>
            </w:tcBorders>
          </w:tcPr>
          <w:p w14:paraId="3E6BF2DD">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left"/>
              <w:textAlignment w:val="auto"/>
              <w:rPr>
                <w:sz w:val="24"/>
                <w:highlight w:val="none"/>
              </w:rPr>
            </w:pPr>
            <w:r>
              <w:rPr>
                <w:rFonts w:hint="eastAsia"/>
                <w:b/>
                <w:bCs/>
                <w:sz w:val="24"/>
                <w:highlight w:val="none"/>
              </w:rPr>
              <w:t>生产工艺流程（附流程图）：</w:t>
            </w:r>
          </w:p>
          <w:p w14:paraId="2EE164DC">
            <w:pPr>
              <w:adjustRightInd w:val="0"/>
              <w:snapToGrid w:val="0"/>
              <w:spacing w:line="360" w:lineRule="auto"/>
              <w:ind w:firstLine="442" w:firstLineChars="200"/>
              <w:rPr>
                <w:b/>
                <w:bCs/>
                <w:szCs w:val="28"/>
                <w:highlight w:val="none"/>
              </w:rPr>
            </w:pPr>
            <w:r>
              <w:rPr>
                <w:b/>
                <w:kern w:val="0"/>
                <w:szCs w:val="21"/>
                <w:highlight w:val="none"/>
              </w:rPr>
              <w:t>1</w:t>
            </w:r>
            <w:r>
              <w:rPr>
                <w:rFonts w:hAnsi="宋体"/>
                <w:b/>
                <w:kern w:val="0"/>
                <w:szCs w:val="21"/>
                <w:highlight w:val="none"/>
              </w:rPr>
              <w:t>、</w:t>
            </w:r>
            <w:r>
              <w:rPr>
                <w:rFonts w:hAnsi="宋体"/>
                <w:b/>
                <w:bCs/>
                <w:szCs w:val="28"/>
                <w:highlight w:val="none"/>
              </w:rPr>
              <w:t>光伏阵列基础施工及安装</w:t>
            </w:r>
          </w:p>
          <w:p w14:paraId="1611E473">
            <w:pPr>
              <w:spacing w:line="360" w:lineRule="auto"/>
              <w:ind w:firstLine="440" w:firstLineChars="200"/>
              <w:rPr>
                <w:bCs/>
                <w:iCs/>
                <w:kern w:val="36"/>
                <w:highlight w:val="none"/>
              </w:rPr>
            </w:pPr>
            <w:r>
              <w:rPr>
                <w:bCs/>
                <w:iCs/>
                <w:kern w:val="36"/>
                <w:highlight w:val="none"/>
              </w:rPr>
              <w:t>1</w:t>
            </w:r>
            <w:r>
              <w:rPr>
                <w:rFonts w:hAnsi="宋体"/>
                <w:bCs/>
                <w:iCs/>
                <w:kern w:val="36"/>
                <w:highlight w:val="none"/>
              </w:rPr>
              <w:t>）光伏阵列基础施工</w:t>
            </w:r>
          </w:p>
          <w:p w14:paraId="4B20653C">
            <w:pPr>
              <w:spacing w:line="360" w:lineRule="auto"/>
              <w:ind w:firstLine="440" w:firstLineChars="200"/>
              <w:rPr>
                <w:bCs/>
                <w:iCs/>
                <w:kern w:val="36"/>
                <w:highlight w:val="none"/>
              </w:rPr>
            </w:pPr>
            <w:r>
              <w:rPr>
                <w:rFonts w:hAnsi="宋体"/>
                <w:bCs/>
                <w:iCs/>
                <w:kern w:val="36"/>
                <w:highlight w:val="none"/>
              </w:rPr>
              <w:t>施工工艺流程：场地清理</w:t>
            </w:r>
            <w:r>
              <w:rPr>
                <w:bCs/>
                <w:iCs/>
                <w:kern w:val="36"/>
                <w:highlight w:val="none"/>
              </w:rPr>
              <w:t>→</w:t>
            </w:r>
            <w:r>
              <w:rPr>
                <w:rFonts w:hAnsi="宋体"/>
                <w:bCs/>
                <w:iCs/>
                <w:kern w:val="36"/>
                <w:highlight w:val="none"/>
              </w:rPr>
              <w:t>测量放线定位桩</w:t>
            </w:r>
            <w:r>
              <w:rPr>
                <w:bCs/>
                <w:iCs/>
                <w:kern w:val="36"/>
                <w:highlight w:val="none"/>
              </w:rPr>
              <w:t>→</w:t>
            </w:r>
            <w:r>
              <w:rPr>
                <w:rFonts w:hAnsi="宋体"/>
                <w:bCs/>
                <w:iCs/>
                <w:kern w:val="36"/>
                <w:highlight w:val="none"/>
              </w:rPr>
              <w:t>桩机就位</w:t>
            </w:r>
            <w:r>
              <w:rPr>
                <w:bCs/>
                <w:iCs/>
                <w:kern w:val="36"/>
                <w:highlight w:val="none"/>
              </w:rPr>
              <w:t>→</w:t>
            </w:r>
            <w:r>
              <w:rPr>
                <w:rFonts w:hAnsi="宋体"/>
                <w:bCs/>
                <w:iCs/>
                <w:kern w:val="36"/>
                <w:highlight w:val="none"/>
              </w:rPr>
              <w:t>钻孔取土成孔</w:t>
            </w:r>
            <w:r>
              <w:rPr>
                <w:bCs/>
                <w:iCs/>
                <w:kern w:val="36"/>
                <w:highlight w:val="none"/>
              </w:rPr>
              <w:t>→</w:t>
            </w:r>
            <w:r>
              <w:rPr>
                <w:rFonts w:hAnsi="宋体"/>
                <w:bCs/>
                <w:iCs/>
                <w:kern w:val="36"/>
                <w:highlight w:val="none"/>
              </w:rPr>
              <w:t>清除孔底成渣</w:t>
            </w:r>
            <w:r>
              <w:rPr>
                <w:bCs/>
                <w:iCs/>
                <w:kern w:val="36"/>
                <w:highlight w:val="none"/>
              </w:rPr>
              <w:t>→</w:t>
            </w:r>
            <w:r>
              <w:rPr>
                <w:rFonts w:hAnsi="宋体"/>
                <w:bCs/>
                <w:iCs/>
                <w:kern w:val="36"/>
                <w:highlight w:val="none"/>
              </w:rPr>
              <w:t>成孔质量检查验收</w:t>
            </w:r>
            <w:r>
              <w:rPr>
                <w:bCs/>
                <w:iCs/>
                <w:kern w:val="36"/>
                <w:highlight w:val="none"/>
              </w:rPr>
              <w:t>→</w:t>
            </w:r>
            <w:r>
              <w:rPr>
                <w:rFonts w:hAnsi="宋体"/>
                <w:bCs/>
                <w:iCs/>
                <w:kern w:val="36"/>
                <w:highlight w:val="none"/>
              </w:rPr>
              <w:t>吊放钢筋笼</w:t>
            </w:r>
            <w:r>
              <w:rPr>
                <w:bCs/>
                <w:iCs/>
                <w:kern w:val="36"/>
                <w:highlight w:val="none"/>
              </w:rPr>
              <w:t>→</w:t>
            </w:r>
            <w:r>
              <w:rPr>
                <w:rFonts w:hAnsi="宋体"/>
                <w:bCs/>
                <w:iCs/>
                <w:kern w:val="36"/>
                <w:highlight w:val="none"/>
              </w:rPr>
              <w:t>浇筑孔内混凝土。</w:t>
            </w:r>
          </w:p>
          <w:p w14:paraId="4F38A1CE">
            <w:pPr>
              <w:spacing w:line="360" w:lineRule="auto"/>
              <w:ind w:firstLine="440" w:firstLineChars="200"/>
              <w:rPr>
                <w:bCs/>
                <w:iCs/>
                <w:kern w:val="36"/>
                <w:highlight w:val="none"/>
              </w:rPr>
            </w:pPr>
            <w:r>
              <w:rPr>
                <w:rFonts w:hAnsi="宋体"/>
                <w:bCs/>
                <w:iCs/>
                <w:kern w:val="36"/>
                <w:highlight w:val="none"/>
              </w:rPr>
              <w:t>施工时应注意：</w:t>
            </w:r>
            <w:r>
              <w:rPr>
                <w:bCs/>
                <w:iCs/>
                <w:kern w:val="36"/>
                <w:highlight w:val="none"/>
              </w:rPr>
              <w:fldChar w:fldCharType="begin"/>
            </w:r>
            <w:r>
              <w:rPr>
                <w:bCs/>
                <w:iCs/>
                <w:kern w:val="36"/>
                <w:highlight w:val="none"/>
              </w:rPr>
              <w:instrText xml:space="preserve"> eq \o\ac(○,1)</w:instrText>
            </w:r>
            <w:r>
              <w:rPr>
                <w:bCs/>
                <w:iCs/>
                <w:kern w:val="36"/>
                <w:highlight w:val="none"/>
              </w:rPr>
              <w:fldChar w:fldCharType="end"/>
            </w:r>
            <w:r>
              <w:rPr>
                <w:rFonts w:hAnsi="宋体"/>
                <w:bCs/>
                <w:iCs/>
                <w:kern w:val="36"/>
                <w:highlight w:val="none"/>
              </w:rPr>
              <w:t>开始钻孔时，应保持钻杆垂直，位置正确，防止因钻杆晃动引起孔径扩大及增多孔底虚土。</w:t>
            </w:r>
          </w:p>
          <w:p w14:paraId="329D8A08">
            <w:pPr>
              <w:spacing w:line="360" w:lineRule="auto"/>
              <w:ind w:firstLine="440" w:firstLineChars="200"/>
              <w:rPr>
                <w:bCs/>
                <w:iCs/>
                <w:kern w:val="36"/>
                <w:highlight w:val="none"/>
              </w:rPr>
            </w:pPr>
            <w:r>
              <w:rPr>
                <w:bCs/>
                <w:iCs/>
                <w:kern w:val="36"/>
                <w:highlight w:val="none"/>
              </w:rPr>
              <w:fldChar w:fldCharType="begin"/>
            </w:r>
            <w:r>
              <w:rPr>
                <w:bCs/>
                <w:iCs/>
                <w:kern w:val="36"/>
                <w:highlight w:val="none"/>
              </w:rPr>
              <w:instrText xml:space="preserve"> eq \o\ac(○,2)</w:instrText>
            </w:r>
            <w:r>
              <w:rPr>
                <w:bCs/>
                <w:iCs/>
                <w:kern w:val="36"/>
                <w:highlight w:val="none"/>
              </w:rPr>
              <w:fldChar w:fldCharType="end"/>
            </w:r>
            <w:r>
              <w:rPr>
                <w:rFonts w:hAnsi="宋体"/>
                <w:bCs/>
                <w:iCs/>
                <w:kern w:val="36"/>
                <w:highlight w:val="none"/>
              </w:rPr>
              <w:t>发现钻杆摇晃、移动、偏斜或难以钻进时，应提钻检查，排除地下障碍物，避免桩孔偏斜和钻具损坏。</w:t>
            </w:r>
          </w:p>
          <w:p w14:paraId="3DB5872C">
            <w:pPr>
              <w:spacing w:line="360" w:lineRule="auto"/>
              <w:ind w:firstLine="440" w:firstLineChars="200"/>
              <w:rPr>
                <w:bCs/>
                <w:iCs/>
                <w:kern w:val="36"/>
                <w:highlight w:val="none"/>
              </w:rPr>
            </w:pPr>
            <w:r>
              <w:rPr>
                <w:bCs/>
                <w:iCs/>
                <w:kern w:val="36"/>
                <w:highlight w:val="none"/>
              </w:rPr>
              <w:fldChar w:fldCharType="begin"/>
            </w:r>
            <w:r>
              <w:rPr>
                <w:bCs/>
                <w:iCs/>
                <w:kern w:val="36"/>
                <w:highlight w:val="none"/>
              </w:rPr>
              <w:instrText xml:space="preserve"> eq \o\ac(○,3)</w:instrText>
            </w:r>
            <w:r>
              <w:rPr>
                <w:bCs/>
                <w:iCs/>
                <w:kern w:val="36"/>
                <w:highlight w:val="none"/>
              </w:rPr>
              <w:fldChar w:fldCharType="end"/>
            </w:r>
            <w:r>
              <w:rPr>
                <w:rFonts w:hAnsi="宋体"/>
                <w:bCs/>
                <w:iCs/>
                <w:kern w:val="36"/>
                <w:highlight w:val="none"/>
              </w:rPr>
              <w:t>钻进过程中，应随时清理孔口粘土，遇到地下水、塌孔、缩孔等异常情况，应停止钻孔，同有关单位研究处理。</w:t>
            </w:r>
          </w:p>
          <w:p w14:paraId="1E2084FA">
            <w:pPr>
              <w:spacing w:line="360" w:lineRule="auto"/>
              <w:ind w:firstLine="440" w:firstLineChars="200"/>
              <w:rPr>
                <w:bCs/>
                <w:iCs/>
                <w:kern w:val="36"/>
                <w:highlight w:val="none"/>
              </w:rPr>
            </w:pPr>
            <w:r>
              <w:rPr>
                <w:bCs/>
                <w:iCs/>
                <w:kern w:val="36"/>
                <w:highlight w:val="none"/>
              </w:rPr>
              <w:fldChar w:fldCharType="begin"/>
            </w:r>
            <w:r>
              <w:rPr>
                <w:bCs/>
                <w:iCs/>
                <w:kern w:val="36"/>
                <w:highlight w:val="none"/>
              </w:rPr>
              <w:instrText xml:space="preserve"> eq \o\ac(○,4)</w:instrText>
            </w:r>
            <w:r>
              <w:rPr>
                <w:bCs/>
                <w:iCs/>
                <w:kern w:val="36"/>
                <w:highlight w:val="none"/>
              </w:rPr>
              <w:fldChar w:fldCharType="end"/>
            </w:r>
            <w:r>
              <w:rPr>
                <w:rFonts w:hAnsi="宋体"/>
                <w:bCs/>
                <w:iCs/>
                <w:kern w:val="36"/>
                <w:highlight w:val="none"/>
              </w:rPr>
              <w:t>钻头进入硬土层时，易造成钻孔偏斜，可提起钻头上下反复扫钻几次，以便削去硬土。若纠正无效，可在孔中局部回填粘土至偏孔处</w:t>
            </w:r>
            <w:r>
              <w:rPr>
                <w:bCs/>
                <w:iCs/>
                <w:kern w:val="36"/>
                <w:highlight w:val="none"/>
              </w:rPr>
              <w:t>0.5m</w:t>
            </w:r>
            <w:r>
              <w:rPr>
                <w:rFonts w:hAnsi="宋体"/>
                <w:bCs/>
                <w:iCs/>
                <w:kern w:val="36"/>
                <w:highlight w:val="none"/>
              </w:rPr>
              <w:t>以上，再重新钻进。</w:t>
            </w:r>
          </w:p>
          <w:p w14:paraId="7EEF79EF">
            <w:pPr>
              <w:spacing w:line="360" w:lineRule="auto"/>
              <w:ind w:firstLine="440" w:firstLineChars="200"/>
              <w:rPr>
                <w:bCs/>
                <w:iCs/>
                <w:kern w:val="36"/>
                <w:highlight w:val="none"/>
              </w:rPr>
            </w:pPr>
            <w:r>
              <w:rPr>
                <w:bCs/>
                <w:iCs/>
                <w:kern w:val="36"/>
                <w:highlight w:val="none"/>
              </w:rPr>
              <w:fldChar w:fldCharType="begin"/>
            </w:r>
            <w:r>
              <w:rPr>
                <w:bCs/>
                <w:iCs/>
                <w:kern w:val="36"/>
                <w:highlight w:val="none"/>
              </w:rPr>
              <w:instrText xml:space="preserve"> eq \o\ac(○,5)</w:instrText>
            </w:r>
            <w:r>
              <w:rPr>
                <w:bCs/>
                <w:iCs/>
                <w:kern w:val="36"/>
                <w:highlight w:val="none"/>
              </w:rPr>
              <w:fldChar w:fldCharType="end"/>
            </w:r>
            <w:r>
              <w:rPr>
                <w:rFonts w:hAnsi="宋体"/>
                <w:bCs/>
                <w:iCs/>
                <w:kern w:val="36"/>
                <w:highlight w:val="none"/>
              </w:rPr>
              <w:t>成孔达到设计深度后，应保护好孔口，按规定验收，并做好施工记录。</w:t>
            </w:r>
          </w:p>
          <w:p w14:paraId="4A26066F">
            <w:pPr>
              <w:spacing w:line="360" w:lineRule="auto"/>
              <w:ind w:firstLine="440" w:firstLineChars="200"/>
              <w:rPr>
                <w:bCs/>
                <w:iCs/>
                <w:kern w:val="36"/>
                <w:highlight w:val="none"/>
              </w:rPr>
            </w:pPr>
            <w:r>
              <w:rPr>
                <w:bCs/>
                <w:iCs/>
                <w:kern w:val="36"/>
                <w:highlight w:val="none"/>
              </w:rPr>
              <w:fldChar w:fldCharType="begin"/>
            </w:r>
            <w:r>
              <w:rPr>
                <w:bCs/>
                <w:iCs/>
                <w:kern w:val="36"/>
                <w:highlight w:val="none"/>
              </w:rPr>
              <w:instrText xml:space="preserve"> eq \o\ac(○,6)</w:instrText>
            </w:r>
            <w:r>
              <w:rPr>
                <w:bCs/>
                <w:iCs/>
                <w:kern w:val="36"/>
                <w:highlight w:val="none"/>
              </w:rPr>
              <w:fldChar w:fldCharType="end"/>
            </w:r>
            <w:r>
              <w:rPr>
                <w:rFonts w:hAnsi="宋体"/>
                <w:bCs/>
                <w:iCs/>
                <w:kern w:val="36"/>
                <w:highlight w:val="none"/>
              </w:rPr>
              <w:t>孔底虚土尽可能清除干净，可采用夯锤夯击孔底虚土或进行压力注水泥浆处理，然后快吊放钢筋笼，并浇筑混凝土。混凝土分层浇筑，每层高度不大于</w:t>
            </w:r>
            <w:r>
              <w:rPr>
                <w:bCs/>
                <w:iCs/>
                <w:kern w:val="36"/>
                <w:highlight w:val="none"/>
              </w:rPr>
              <w:t>1.5m</w:t>
            </w:r>
            <w:r>
              <w:rPr>
                <w:rFonts w:hAnsi="宋体"/>
                <w:bCs/>
                <w:iCs/>
                <w:kern w:val="36"/>
                <w:highlight w:val="none"/>
              </w:rPr>
              <w:t>。</w:t>
            </w:r>
          </w:p>
          <w:p w14:paraId="6E7087FA">
            <w:pPr>
              <w:spacing w:line="360" w:lineRule="auto"/>
              <w:ind w:firstLine="440" w:firstLineChars="200"/>
              <w:rPr>
                <w:bCs/>
                <w:iCs/>
                <w:kern w:val="36"/>
                <w:highlight w:val="none"/>
              </w:rPr>
            </w:pPr>
            <w:r>
              <w:rPr>
                <w:bCs/>
                <w:iCs/>
                <w:kern w:val="36"/>
                <w:highlight w:val="none"/>
              </w:rPr>
              <w:t>2</w:t>
            </w:r>
            <w:r>
              <w:rPr>
                <w:rFonts w:hAnsi="宋体"/>
                <w:bCs/>
                <w:iCs/>
                <w:kern w:val="36"/>
                <w:highlight w:val="none"/>
              </w:rPr>
              <w:t>）光伏阵列安装</w:t>
            </w:r>
          </w:p>
          <w:p w14:paraId="0D6F621B">
            <w:pPr>
              <w:spacing w:line="360" w:lineRule="auto"/>
              <w:ind w:firstLine="440" w:firstLineChars="200"/>
              <w:rPr>
                <w:bCs/>
                <w:iCs/>
                <w:kern w:val="36"/>
                <w:highlight w:val="none"/>
              </w:rPr>
            </w:pPr>
            <w:r>
              <w:rPr>
                <w:rFonts w:hAnsi="宋体"/>
                <w:bCs/>
                <w:iCs/>
                <w:kern w:val="36"/>
                <w:highlight w:val="none"/>
              </w:rPr>
              <w:t>（</w:t>
            </w:r>
            <w:r>
              <w:rPr>
                <w:bCs/>
                <w:iCs/>
                <w:kern w:val="36"/>
                <w:highlight w:val="none"/>
              </w:rPr>
              <w:t>1</w:t>
            </w:r>
            <w:r>
              <w:rPr>
                <w:rFonts w:hAnsi="宋体"/>
                <w:bCs/>
                <w:iCs/>
                <w:kern w:val="36"/>
                <w:highlight w:val="none"/>
              </w:rPr>
              <w:t>）施工准备</w:t>
            </w:r>
          </w:p>
          <w:p w14:paraId="7C1EDB8B">
            <w:pPr>
              <w:spacing w:line="360" w:lineRule="auto"/>
              <w:ind w:firstLine="440" w:firstLineChars="200"/>
              <w:rPr>
                <w:bCs/>
                <w:iCs/>
                <w:kern w:val="36"/>
                <w:highlight w:val="none"/>
              </w:rPr>
            </w:pPr>
            <w:r>
              <w:rPr>
                <w:rFonts w:hAnsi="宋体"/>
                <w:bCs/>
                <w:iCs/>
                <w:kern w:val="36"/>
                <w:highlight w:val="none"/>
              </w:rPr>
              <w:t>进场道路畅通，安装支架运至相应的阵列基础位置，太阳能光伏组件运至相应的基础位置。施工单位应派人专人监护，防止光伏组件损坏。</w:t>
            </w:r>
          </w:p>
          <w:p w14:paraId="253EBD69">
            <w:pPr>
              <w:spacing w:line="360" w:lineRule="auto"/>
              <w:ind w:firstLine="440" w:firstLineChars="200"/>
              <w:rPr>
                <w:bCs/>
                <w:iCs/>
                <w:kern w:val="36"/>
                <w:highlight w:val="none"/>
              </w:rPr>
            </w:pPr>
            <w:r>
              <w:rPr>
                <w:rFonts w:hAnsi="宋体"/>
                <w:bCs/>
                <w:iCs/>
                <w:kern w:val="36"/>
                <w:highlight w:val="none"/>
              </w:rPr>
              <w:t>（</w:t>
            </w:r>
            <w:r>
              <w:rPr>
                <w:bCs/>
                <w:iCs/>
                <w:kern w:val="36"/>
                <w:highlight w:val="none"/>
              </w:rPr>
              <w:t>2</w:t>
            </w:r>
            <w:r>
              <w:rPr>
                <w:rFonts w:hAnsi="宋体"/>
                <w:bCs/>
                <w:iCs/>
                <w:kern w:val="36"/>
                <w:highlight w:val="none"/>
              </w:rPr>
              <w:t>）阵列支架安装</w:t>
            </w:r>
          </w:p>
          <w:p w14:paraId="250E318E">
            <w:pPr>
              <w:spacing w:line="360" w:lineRule="auto"/>
              <w:ind w:firstLine="440" w:firstLineChars="200"/>
              <w:rPr>
                <w:bCs/>
                <w:iCs/>
                <w:kern w:val="36"/>
                <w:highlight w:val="none"/>
              </w:rPr>
            </w:pPr>
            <w:r>
              <w:rPr>
                <w:rFonts w:hAnsi="宋体"/>
                <w:bCs/>
                <w:iCs/>
                <w:kern w:val="36"/>
                <w:highlight w:val="none"/>
              </w:rPr>
              <w:t>太阳能电池组件支架采用三角形钢支架，支架的结构单元随电池组件的不同组合而有所不同，太阳能光伏组件支架由横梁、立柱、斜撑组成。支架按照安装图纸要求，采用镀锌螺栓连接。安装完成整体调整支架水平后紧固螺栓。</w:t>
            </w:r>
          </w:p>
          <w:p w14:paraId="108A69BC">
            <w:pPr>
              <w:spacing w:line="360" w:lineRule="auto"/>
              <w:ind w:firstLine="440" w:firstLineChars="200"/>
              <w:rPr>
                <w:bCs/>
                <w:iCs/>
                <w:kern w:val="36"/>
                <w:highlight w:val="none"/>
              </w:rPr>
            </w:pPr>
            <w:r>
              <w:rPr>
                <w:rFonts w:hAnsi="宋体"/>
                <w:bCs/>
                <w:iCs/>
                <w:kern w:val="36"/>
                <w:highlight w:val="none"/>
              </w:rPr>
              <w:t>（</w:t>
            </w:r>
            <w:r>
              <w:rPr>
                <w:bCs/>
                <w:iCs/>
                <w:kern w:val="36"/>
                <w:highlight w:val="none"/>
              </w:rPr>
              <w:t>3</w:t>
            </w:r>
            <w:r>
              <w:rPr>
                <w:rFonts w:hAnsi="宋体"/>
                <w:bCs/>
                <w:iCs/>
                <w:kern w:val="36"/>
                <w:highlight w:val="none"/>
              </w:rPr>
              <w:t>）太阳能电池组件安装</w:t>
            </w:r>
          </w:p>
          <w:p w14:paraId="77DB4248">
            <w:pPr>
              <w:spacing w:line="360" w:lineRule="auto"/>
              <w:ind w:firstLine="440" w:firstLineChars="200"/>
              <w:rPr>
                <w:bCs/>
                <w:iCs/>
                <w:kern w:val="36"/>
                <w:highlight w:val="none"/>
              </w:rPr>
            </w:pPr>
            <w:r>
              <w:rPr>
                <w:rFonts w:hAnsi="宋体"/>
                <w:bCs/>
                <w:iCs/>
                <w:kern w:val="36"/>
                <w:highlight w:val="none"/>
              </w:rPr>
              <w:t>细心打开组件包装，认真检查光伏组件的规格和型号，仔细检查光伏组件外观是否完好。禁止单片组件叠摞，轻拿轻放防止表面划伤，用螺栓紧固至支架后调整水平，拧紧螺栓。为了防止太阳能电池组件串触电事故的发生，应采取以下措施：</w:t>
            </w:r>
          </w:p>
          <w:p w14:paraId="56183261">
            <w:pPr>
              <w:spacing w:line="360" w:lineRule="auto"/>
              <w:ind w:firstLine="440" w:firstLineChars="200"/>
              <w:rPr>
                <w:bCs/>
                <w:iCs/>
                <w:kern w:val="36"/>
                <w:highlight w:val="none"/>
              </w:rPr>
            </w:pPr>
            <w:r>
              <w:rPr>
                <w:bCs/>
                <w:iCs/>
                <w:kern w:val="36"/>
                <w:highlight w:val="none"/>
              </w:rPr>
              <w:fldChar w:fldCharType="begin"/>
            </w:r>
            <w:r>
              <w:rPr>
                <w:bCs/>
                <w:iCs/>
                <w:kern w:val="36"/>
                <w:highlight w:val="none"/>
              </w:rPr>
              <w:instrText xml:space="preserve"> eq \o\ac(○,1)</w:instrText>
            </w:r>
            <w:r>
              <w:rPr>
                <w:bCs/>
                <w:iCs/>
                <w:kern w:val="36"/>
                <w:highlight w:val="none"/>
              </w:rPr>
              <w:fldChar w:fldCharType="end"/>
            </w:r>
            <w:r>
              <w:rPr>
                <w:rFonts w:hAnsi="宋体"/>
                <w:bCs/>
                <w:iCs/>
                <w:kern w:val="36"/>
                <w:highlight w:val="none"/>
              </w:rPr>
              <w:t>施工作业时，在太阳能电池组件表面铺遮光板，遮挡太阳；</w:t>
            </w:r>
          </w:p>
          <w:p w14:paraId="02D75F0C">
            <w:pPr>
              <w:spacing w:line="360" w:lineRule="auto"/>
              <w:ind w:firstLine="440" w:firstLineChars="200"/>
              <w:rPr>
                <w:bCs/>
                <w:iCs/>
                <w:kern w:val="36"/>
                <w:highlight w:val="none"/>
              </w:rPr>
            </w:pPr>
            <w:r>
              <w:rPr>
                <w:bCs/>
                <w:iCs/>
                <w:kern w:val="36"/>
                <w:highlight w:val="none"/>
              </w:rPr>
              <w:fldChar w:fldCharType="begin"/>
            </w:r>
            <w:r>
              <w:rPr>
                <w:bCs/>
                <w:iCs/>
                <w:kern w:val="36"/>
                <w:highlight w:val="none"/>
              </w:rPr>
              <w:instrText xml:space="preserve"> eq \o\ac(○,2)</w:instrText>
            </w:r>
            <w:r>
              <w:rPr>
                <w:bCs/>
                <w:iCs/>
                <w:kern w:val="36"/>
                <w:highlight w:val="none"/>
              </w:rPr>
              <w:fldChar w:fldCharType="end"/>
            </w:r>
            <w:r>
              <w:rPr>
                <w:rFonts w:hAnsi="宋体"/>
                <w:bCs/>
                <w:iCs/>
                <w:kern w:val="36"/>
                <w:highlight w:val="none"/>
              </w:rPr>
              <w:t>带好低压绝缘手套；</w:t>
            </w:r>
          </w:p>
          <w:p w14:paraId="66B04313">
            <w:pPr>
              <w:spacing w:line="360" w:lineRule="auto"/>
              <w:ind w:firstLine="440" w:firstLineChars="200"/>
              <w:rPr>
                <w:bCs/>
                <w:iCs/>
                <w:kern w:val="36"/>
                <w:highlight w:val="none"/>
              </w:rPr>
            </w:pPr>
            <w:r>
              <w:rPr>
                <w:bCs/>
                <w:iCs/>
                <w:kern w:val="36"/>
                <w:highlight w:val="none"/>
              </w:rPr>
              <w:fldChar w:fldCharType="begin"/>
            </w:r>
            <w:r>
              <w:rPr>
                <w:bCs/>
                <w:iCs/>
                <w:kern w:val="36"/>
                <w:highlight w:val="none"/>
              </w:rPr>
              <w:instrText xml:space="preserve"> eq \o\ac(○,3)</w:instrText>
            </w:r>
            <w:r>
              <w:rPr>
                <w:bCs/>
                <w:iCs/>
                <w:kern w:val="36"/>
                <w:highlight w:val="none"/>
              </w:rPr>
              <w:fldChar w:fldCharType="end"/>
            </w:r>
            <w:r>
              <w:rPr>
                <w:rFonts w:hAnsi="宋体"/>
                <w:bCs/>
                <w:iCs/>
                <w:kern w:val="36"/>
                <w:highlight w:val="none"/>
              </w:rPr>
              <w:t>使用已有绝缘处理的工具；</w:t>
            </w:r>
          </w:p>
          <w:p w14:paraId="56463B52">
            <w:pPr>
              <w:spacing w:line="360" w:lineRule="auto"/>
              <w:ind w:firstLine="440" w:firstLineChars="200"/>
              <w:rPr>
                <w:bCs/>
                <w:iCs/>
                <w:kern w:val="36"/>
                <w:highlight w:val="none"/>
              </w:rPr>
            </w:pPr>
            <w:r>
              <w:rPr>
                <w:bCs/>
                <w:iCs/>
                <w:kern w:val="36"/>
                <w:highlight w:val="none"/>
              </w:rPr>
              <w:fldChar w:fldCharType="begin"/>
            </w:r>
            <w:r>
              <w:rPr>
                <w:bCs/>
                <w:iCs/>
                <w:kern w:val="36"/>
                <w:highlight w:val="none"/>
              </w:rPr>
              <w:instrText xml:space="preserve"> eq \o\ac(○,4)</w:instrText>
            </w:r>
            <w:r>
              <w:rPr>
                <w:bCs/>
                <w:iCs/>
                <w:kern w:val="36"/>
                <w:highlight w:val="none"/>
              </w:rPr>
              <w:fldChar w:fldCharType="end"/>
            </w:r>
            <w:r>
              <w:rPr>
                <w:rFonts w:hAnsi="宋体"/>
                <w:bCs/>
                <w:iCs/>
                <w:kern w:val="36"/>
                <w:highlight w:val="none"/>
              </w:rPr>
              <w:t>不要在雨天作业；</w:t>
            </w:r>
          </w:p>
          <w:p w14:paraId="1B2C159C">
            <w:pPr>
              <w:spacing w:line="360" w:lineRule="auto"/>
              <w:ind w:firstLine="440" w:firstLineChars="200"/>
              <w:rPr>
                <w:bCs/>
                <w:iCs/>
                <w:kern w:val="36"/>
                <w:highlight w:val="none"/>
              </w:rPr>
            </w:pPr>
            <w:r>
              <w:rPr>
                <w:bCs/>
                <w:iCs/>
                <w:kern w:val="36"/>
                <w:highlight w:val="none"/>
              </w:rPr>
              <w:fldChar w:fldCharType="begin"/>
            </w:r>
            <w:r>
              <w:rPr>
                <w:bCs/>
                <w:iCs/>
                <w:kern w:val="36"/>
                <w:highlight w:val="none"/>
              </w:rPr>
              <w:instrText xml:space="preserve"> eq \o\ac(○,5)</w:instrText>
            </w:r>
            <w:r>
              <w:rPr>
                <w:bCs/>
                <w:iCs/>
                <w:kern w:val="36"/>
                <w:highlight w:val="none"/>
              </w:rPr>
              <w:fldChar w:fldCharType="end"/>
            </w:r>
            <w:r>
              <w:rPr>
                <w:rFonts w:hAnsi="宋体"/>
                <w:bCs/>
                <w:iCs/>
                <w:kern w:val="36"/>
                <w:highlight w:val="none"/>
              </w:rPr>
              <w:t>电池组件框和支架应保持良好接地。</w:t>
            </w:r>
          </w:p>
          <w:p w14:paraId="6C48A657">
            <w:pPr>
              <w:adjustRightInd w:val="0"/>
              <w:snapToGrid w:val="0"/>
              <w:spacing w:line="360" w:lineRule="auto"/>
              <w:ind w:firstLine="442" w:firstLineChars="200"/>
              <w:rPr>
                <w:kern w:val="0"/>
                <w:szCs w:val="21"/>
                <w:highlight w:val="none"/>
              </w:rPr>
            </w:pPr>
            <w:r>
              <w:rPr>
                <w:b/>
                <w:kern w:val="0"/>
                <w:szCs w:val="21"/>
                <w:highlight w:val="none"/>
              </w:rPr>
              <w:t>2</w:t>
            </w:r>
            <w:r>
              <w:rPr>
                <w:rFonts w:hAnsi="宋体"/>
                <w:b/>
                <w:kern w:val="0"/>
                <w:szCs w:val="21"/>
                <w:highlight w:val="none"/>
              </w:rPr>
              <w:t>、</w:t>
            </w:r>
            <w:r>
              <w:rPr>
                <w:rFonts w:hAnsi="宋体"/>
                <w:b/>
                <w:bCs/>
                <w:szCs w:val="28"/>
                <w:highlight w:val="none"/>
              </w:rPr>
              <w:t>逆变升压一体设备基础施工和安装</w:t>
            </w:r>
          </w:p>
          <w:p w14:paraId="25DDC734">
            <w:pPr>
              <w:spacing w:line="360" w:lineRule="auto"/>
              <w:ind w:firstLine="440" w:firstLineChars="200"/>
              <w:rPr>
                <w:bCs/>
                <w:iCs/>
                <w:kern w:val="36"/>
                <w:highlight w:val="none"/>
              </w:rPr>
            </w:pPr>
            <w:r>
              <w:rPr>
                <w:bCs/>
                <w:iCs/>
                <w:kern w:val="36"/>
                <w:highlight w:val="none"/>
              </w:rPr>
              <w:t>1</w:t>
            </w:r>
            <w:r>
              <w:rPr>
                <w:rFonts w:hAnsi="宋体"/>
                <w:bCs/>
                <w:iCs/>
                <w:kern w:val="36"/>
                <w:highlight w:val="none"/>
              </w:rPr>
              <w:t>）逆变升压一体设备基础施工</w:t>
            </w:r>
          </w:p>
          <w:p w14:paraId="790524D9">
            <w:pPr>
              <w:spacing w:line="360" w:lineRule="auto"/>
              <w:ind w:firstLine="440" w:firstLineChars="200"/>
              <w:rPr>
                <w:bCs/>
                <w:iCs/>
                <w:kern w:val="36"/>
                <w:highlight w:val="none"/>
              </w:rPr>
            </w:pPr>
            <w:r>
              <w:rPr>
                <w:rFonts w:hAnsi="宋体"/>
                <w:bCs/>
                <w:iCs/>
                <w:kern w:val="36"/>
                <w:highlight w:val="none"/>
              </w:rPr>
              <w:t>逆变升压一体设备基础工程施工包括基础土方开挖和基础混凝土浇筑。开挖土石方沿坑槽周边堆放，以备回填。为保护环境，减少水土流失，应尽是减少对原土的扰动。</w:t>
            </w:r>
          </w:p>
          <w:p w14:paraId="19D84BCC">
            <w:pPr>
              <w:spacing w:line="360" w:lineRule="auto"/>
              <w:ind w:firstLine="440" w:firstLineChars="200"/>
              <w:rPr>
                <w:bCs/>
                <w:iCs/>
                <w:kern w:val="36"/>
                <w:highlight w:val="none"/>
              </w:rPr>
            </w:pPr>
            <w:r>
              <w:rPr>
                <w:rFonts w:hAnsi="宋体"/>
                <w:bCs/>
                <w:iCs/>
                <w:kern w:val="36"/>
                <w:highlight w:val="none"/>
              </w:rPr>
              <w:t>逆变升压一体设备基础混凝土浇筑：应先浇筑混凝土垫层，再进行钢筋绑扎，后浇筑基础混凝土。施工中应对所有砂、碎石和水泥作好工前化验，并做多个试块进行强度试验，必须达到规范要求指标。工程实施时一定要对工人进行上岗前培训考核，随时监督控制砂、碎石、水泥的清洁和准确的配合比。浇筑混凝土时防止其中钢筋变位、变形，不允许基础中固定逆变升压一体设备的埋件移动或倾斜。混凝土浇筑后洒水保湿养护</w:t>
            </w:r>
            <w:r>
              <w:rPr>
                <w:bCs/>
                <w:iCs/>
                <w:kern w:val="36"/>
                <w:highlight w:val="none"/>
              </w:rPr>
              <w:t>14d</w:t>
            </w:r>
            <w:r>
              <w:rPr>
                <w:rFonts w:hAnsi="宋体"/>
                <w:bCs/>
                <w:iCs/>
                <w:kern w:val="36"/>
                <w:highlight w:val="none"/>
              </w:rPr>
              <w:t>。土方回填应在混凝土浇筑</w:t>
            </w:r>
            <w:r>
              <w:rPr>
                <w:bCs/>
                <w:iCs/>
                <w:kern w:val="36"/>
                <w:highlight w:val="none"/>
              </w:rPr>
              <w:t>7d</w:t>
            </w:r>
            <w:r>
              <w:rPr>
                <w:rFonts w:hAnsi="宋体"/>
                <w:bCs/>
                <w:iCs/>
                <w:kern w:val="36"/>
                <w:highlight w:val="none"/>
              </w:rPr>
              <w:t>后进行，回填时分层回填、打夯机分层夯实，并预留沉降量。</w:t>
            </w:r>
          </w:p>
          <w:p w14:paraId="745EB4C2">
            <w:pPr>
              <w:spacing w:line="360" w:lineRule="auto"/>
              <w:ind w:firstLine="440" w:firstLineChars="200"/>
              <w:rPr>
                <w:bCs/>
                <w:iCs/>
                <w:kern w:val="36"/>
                <w:highlight w:val="none"/>
              </w:rPr>
            </w:pPr>
            <w:r>
              <w:rPr>
                <w:bCs/>
                <w:iCs/>
                <w:kern w:val="36"/>
                <w:highlight w:val="none"/>
              </w:rPr>
              <w:t>2</w:t>
            </w:r>
            <w:r>
              <w:rPr>
                <w:rFonts w:hAnsi="宋体"/>
                <w:bCs/>
                <w:iCs/>
                <w:kern w:val="36"/>
                <w:highlight w:val="none"/>
              </w:rPr>
              <w:t>）逆变升压一体设备安装</w:t>
            </w:r>
          </w:p>
          <w:p w14:paraId="75AD8C39">
            <w:pPr>
              <w:spacing w:line="360" w:lineRule="auto"/>
              <w:ind w:firstLine="440" w:firstLineChars="200"/>
              <w:rPr>
                <w:kern w:val="0"/>
                <w:highlight w:val="none"/>
              </w:rPr>
            </w:pPr>
            <w:r>
              <w:rPr>
                <w:rFonts w:hAnsi="宋体"/>
                <w:bCs/>
                <w:iCs/>
                <w:kern w:val="36"/>
                <w:highlight w:val="none"/>
              </w:rPr>
              <w:t>逆变升压一体设备采用</w:t>
            </w:r>
            <w:r>
              <w:rPr>
                <w:bCs/>
                <w:iCs/>
                <w:kern w:val="36"/>
                <w:highlight w:val="none"/>
              </w:rPr>
              <w:t>160T</w:t>
            </w:r>
            <w:r>
              <w:rPr>
                <w:rFonts w:hAnsi="宋体"/>
                <w:bCs/>
                <w:iCs/>
                <w:kern w:val="36"/>
                <w:highlight w:val="none"/>
              </w:rPr>
              <w:t>汽车吊吊装就位。施工吊装要考虑到安全距离及安全风速，确保施工安全及安装质量。吊装就位后要即时调整加固，将逆变升压一体设备基础槽钢与预埋件焊接，逆变升压一体设备两点接地螺栓与接地网可靠连接，并测试接地网接地电阻满足设计要求。</w:t>
            </w:r>
          </w:p>
          <w:p w14:paraId="276685BF">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highlight w:val="none"/>
              </w:rPr>
            </w:pPr>
            <w:r>
              <w:rPr>
                <w:rFonts w:ascii="Times New Roman" w:eastAsia="Times New Roman"/>
                <w:highlight w:val="none"/>
              </w:rPr>
              <w:t>2</w:t>
            </w:r>
            <w:r>
              <w:rPr>
                <w:highlight w:val="none"/>
              </w:rPr>
              <w:t>、运营期工艺流程</w:t>
            </w:r>
          </w:p>
          <w:p w14:paraId="35FDE28C">
            <w:pPr>
              <w:keepNext w:val="0"/>
              <w:keepLines w:val="0"/>
              <w:pageBreakBefore w:val="0"/>
              <w:widowControl w:val="0"/>
              <w:kinsoku/>
              <w:wordWrap/>
              <w:overflowPunct/>
              <w:topLinePunct w:val="0"/>
              <w:autoSpaceDE w:val="0"/>
              <w:autoSpaceDN w:val="0"/>
              <w:bidi w:val="0"/>
              <w:adjustRightInd/>
              <w:snapToGrid/>
              <w:spacing w:before="0" w:line="360" w:lineRule="auto"/>
              <w:ind w:left="0" w:firstLine="440" w:firstLineChars="200"/>
              <w:textAlignment w:val="auto"/>
              <w:rPr>
                <w:rFonts w:ascii="宋体" w:hAnsi="宋体" w:eastAsia="宋体" w:cs="宋体"/>
                <w:bCs/>
                <w:iCs/>
                <w:kern w:val="36"/>
                <w:highlight w:val="none"/>
              </w:rPr>
            </w:pPr>
            <w:r>
              <w:rPr>
                <w:rFonts w:ascii="宋体" w:hAnsi="宋体" w:eastAsia="宋体" w:cs="宋体"/>
                <w:bCs/>
                <w:iCs/>
                <w:kern w:val="36"/>
                <w:highlight w:val="none"/>
              </w:rPr>
              <w:t>太阳能发电是将太阳能通过光伏发电组件转换为电能的过程，是一种通过转换装置把太阳辐射能转换成电能利用的发电技术。光电转换装置通常是利用半导体器件的光伏效应原理进行光电转换的，因此又称太阳能光伏技术。本项目太阳能光伏板发电系统经汇流箱汇集后接入逆变器室，之后经箱式变压器接入35kV开关站，最后接入租用的尚义元辰边家村220kV升压站后经架空线路并入电网。</w:t>
            </w:r>
          </w:p>
          <w:p w14:paraId="557279BF">
            <w:pPr>
              <w:pStyle w:val="5"/>
              <w:spacing w:before="172" w:line="374" w:lineRule="auto"/>
              <w:ind w:left="220" w:right="360" w:firstLine="480"/>
              <w:jc w:val="both"/>
              <w:rPr>
                <w:rFonts w:ascii="Times New Roman" w:eastAsia="Times New Roman"/>
                <w:highlight w:val="none"/>
              </w:rPr>
            </w:pPr>
          </w:p>
          <w:p w14:paraId="6441AD9B">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sz w:val="24"/>
                <w:highlight w:val="none"/>
              </w:rPr>
            </w:pPr>
          </w:p>
        </w:tc>
      </w:tr>
      <w:tr w14:paraId="0F0F4D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93" w:hRule="atLeast"/>
        </w:trPr>
        <w:tc>
          <w:tcPr>
            <w:tcW w:w="8521" w:type="dxa"/>
            <w:tcBorders>
              <w:top w:val="single" w:color="000000" w:sz="4" w:space="0"/>
              <w:bottom w:val="single" w:color="000000" w:sz="4" w:space="0"/>
            </w:tcBorders>
          </w:tcPr>
          <w:p w14:paraId="679660D1">
            <w:pPr>
              <w:pStyle w:val="4"/>
              <w:ind w:left="325"/>
              <w:rPr>
                <w:highlight w:val="none"/>
              </w:rPr>
            </w:pPr>
            <w:r>
              <w:rPr>
                <w:highlight w:val="none"/>
              </w:rPr>
              <w:t>工程占地及平面布置：</w:t>
            </w:r>
          </w:p>
          <w:p w14:paraId="62BC44E0">
            <w:pPr>
              <w:pStyle w:val="5"/>
              <w:spacing w:before="8"/>
              <w:rPr>
                <w:b/>
                <w:sz w:val="32"/>
                <w:highlight w:val="none"/>
              </w:rPr>
            </w:pPr>
          </w:p>
          <w:p w14:paraId="28A5E7E1">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highlight w:val="none"/>
              </w:rPr>
            </w:pPr>
            <w:r>
              <w:rPr>
                <w:spacing w:val="-5"/>
                <w:highlight w:val="none"/>
              </w:rPr>
              <w:t>本项目位于</w:t>
            </w:r>
            <w:r>
              <w:rPr>
                <w:rFonts w:hint="eastAsia"/>
                <w:spacing w:val="-5"/>
                <w:highlight w:val="none"/>
                <w:lang w:val="en-US" w:eastAsia="zh-CN"/>
              </w:rPr>
              <w:t>江门市台山市汶村镇</w:t>
            </w:r>
            <w:r>
              <w:rPr>
                <w:spacing w:val="-5"/>
                <w:highlight w:val="none"/>
              </w:rPr>
              <w:t>，项目规划占地</w:t>
            </w:r>
            <w:r>
              <w:rPr>
                <w:rFonts w:hint="eastAsia" w:ascii="Times New Roman"/>
                <w:highlight w:val="none"/>
                <w:lang w:val="en-US" w:eastAsia="zh-CN"/>
              </w:rPr>
              <w:t>1567450平方米</w:t>
            </w:r>
            <w:r>
              <w:rPr>
                <w:spacing w:val="-6"/>
                <w:highlight w:val="none"/>
              </w:rPr>
              <w:t>，项目实际占地面积为</w:t>
            </w:r>
            <w:r>
              <w:rPr>
                <w:rFonts w:hint="eastAsia" w:ascii="Times New Roman"/>
                <w:highlight w:val="none"/>
                <w:lang w:val="en-US" w:eastAsia="zh-CN"/>
              </w:rPr>
              <w:t>1245680</w:t>
            </w:r>
            <w:r>
              <w:rPr>
                <w:rFonts w:hint="eastAsia" w:ascii="Times New Roman"/>
                <w:highlight w:val="none"/>
                <w:lang w:val="en-US" w:eastAsia="zh-CN"/>
              </w:rPr>
              <w:t>平方米</w:t>
            </w:r>
            <w:r>
              <w:rPr>
                <w:spacing w:val="-9"/>
                <w:highlight w:val="none"/>
              </w:rPr>
              <w:t>。该项目光伏场区内主要为光伏电池组件，</w:t>
            </w:r>
            <w:r>
              <w:rPr>
                <w:rFonts w:hint="eastAsia"/>
                <w:spacing w:val="-9"/>
                <w:highlight w:val="none"/>
                <w:lang w:val="en-US" w:eastAsia="zh-CN"/>
              </w:rPr>
              <w:t>规划划分为39个发电区，实际建设</w:t>
            </w:r>
            <w:r>
              <w:rPr>
                <w:rFonts w:hint="eastAsia"/>
                <w:spacing w:val="-9"/>
                <w:highlight w:val="none"/>
                <w:lang w:val="en-US" w:eastAsia="zh-CN"/>
              </w:rPr>
              <w:t>31个</w:t>
            </w:r>
            <w:r>
              <w:rPr>
                <w:rFonts w:hint="eastAsia"/>
                <w:spacing w:val="-9"/>
                <w:highlight w:val="none"/>
                <w:lang w:val="en-US" w:eastAsia="zh-CN"/>
              </w:rPr>
              <w:t>发电区，</w:t>
            </w:r>
            <w:r>
              <w:rPr>
                <w:spacing w:val="-9"/>
                <w:highlight w:val="none"/>
              </w:rPr>
              <w:t>共</w:t>
            </w:r>
            <w:r>
              <w:rPr>
                <w:highlight w:val="none"/>
              </w:rPr>
              <w:t>分为</w:t>
            </w:r>
            <w:r>
              <w:rPr>
                <w:rFonts w:ascii="Times New Roman" w:eastAsia="Times New Roman"/>
                <w:highlight w:val="none"/>
              </w:rPr>
              <w:t>30</w:t>
            </w:r>
            <w:r>
              <w:rPr>
                <w:spacing w:val="-10"/>
                <w:highlight w:val="none"/>
              </w:rPr>
              <w:t>个独立模块，每个模块中间均设置逆变升压室、箱式变压器等，每个模块</w:t>
            </w:r>
            <w:r>
              <w:rPr>
                <w:highlight w:val="none"/>
              </w:rPr>
              <w:t>按照顺序在光伏场区内依次排列。该项目具体平面布置见图</w:t>
            </w:r>
            <w:r>
              <w:rPr>
                <w:rFonts w:hint="eastAsia" w:ascii="Times New Roman"/>
                <w:highlight w:val="none"/>
                <w:lang w:val="en-US" w:eastAsia="zh-CN"/>
              </w:rPr>
              <w:t>2-4</w:t>
            </w:r>
            <w:r>
              <w:rPr>
                <w:highlight w:val="none"/>
              </w:rPr>
              <w:t>。</w:t>
            </w:r>
          </w:p>
          <w:p w14:paraId="6B6EB783">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left"/>
              <w:textAlignment w:val="auto"/>
              <w:rPr>
                <w:highlight w:val="none"/>
              </w:rPr>
            </w:pPr>
          </w:p>
          <w:p w14:paraId="53F20A6C">
            <w:pPr>
              <w:jc w:val="center"/>
              <w:rPr>
                <w:highlight w:val="none"/>
              </w:rPr>
            </w:pPr>
            <w:r>
              <w:rPr>
                <w:highlight w:val="none"/>
              </w:rPr>
              <w:drawing>
                <wp:inline distT="0" distB="0" distL="114300" distR="114300">
                  <wp:extent cx="5395595" cy="4512310"/>
                  <wp:effectExtent l="0" t="0" r="14605" b="25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5"/>
                          <a:stretch>
                            <a:fillRect/>
                          </a:stretch>
                        </pic:blipFill>
                        <pic:spPr>
                          <a:xfrm>
                            <a:off x="0" y="0"/>
                            <a:ext cx="5395595" cy="4512310"/>
                          </a:xfrm>
                          <a:prstGeom prst="rect">
                            <a:avLst/>
                          </a:prstGeom>
                          <a:noFill/>
                          <a:ln>
                            <a:noFill/>
                          </a:ln>
                        </pic:spPr>
                      </pic:pic>
                    </a:graphicData>
                  </a:graphic>
                </wp:inline>
              </w:drawing>
            </w:r>
          </w:p>
          <w:p w14:paraId="2367A7F0">
            <w:pPr>
              <w:jc w:val="center"/>
              <w:outlineLvl w:val="0"/>
              <w:rPr>
                <w:b/>
                <w:highlight w:val="none"/>
              </w:rPr>
            </w:pPr>
            <w:bookmarkStart w:id="2" w:name="_Toc6250"/>
            <w:r>
              <w:rPr>
                <w:rFonts w:hAnsi="宋体"/>
                <w:b/>
                <w:highlight w:val="none"/>
              </w:rPr>
              <w:t>图</w:t>
            </w:r>
            <w:r>
              <w:rPr>
                <w:b/>
                <w:highlight w:val="none"/>
              </w:rPr>
              <w:t>2-</w:t>
            </w:r>
            <w:r>
              <w:rPr>
                <w:rFonts w:hint="eastAsia"/>
                <w:b/>
                <w:highlight w:val="none"/>
                <w:lang w:val="en-US" w:eastAsia="zh-CN"/>
              </w:rPr>
              <w:t>4</w:t>
            </w:r>
            <w:r>
              <w:rPr>
                <w:b/>
                <w:highlight w:val="none"/>
              </w:rPr>
              <w:t xml:space="preserve">  </w:t>
            </w:r>
            <w:r>
              <w:rPr>
                <w:rFonts w:hAnsi="宋体"/>
                <w:b/>
                <w:highlight w:val="none"/>
              </w:rPr>
              <w:t>一期、二期场区平面布置图</w:t>
            </w:r>
            <w:bookmarkEnd w:id="2"/>
          </w:p>
          <w:p w14:paraId="04A721DC">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left"/>
              <w:textAlignment w:val="auto"/>
              <w:rPr>
                <w:highlight w:val="none"/>
              </w:rPr>
            </w:pPr>
          </w:p>
          <w:p w14:paraId="45C73421">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left"/>
              <w:textAlignment w:val="auto"/>
              <w:rPr>
                <w:highlight w:val="none"/>
              </w:rPr>
            </w:pPr>
          </w:p>
          <w:p w14:paraId="5C3303E4">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left"/>
              <w:textAlignment w:val="auto"/>
              <w:rPr>
                <w:highlight w:val="none"/>
              </w:rPr>
            </w:pPr>
          </w:p>
          <w:p w14:paraId="5509C505">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left"/>
              <w:textAlignment w:val="auto"/>
              <w:rPr>
                <w:rFonts w:hint="default" w:eastAsia="宋体"/>
                <w:highlight w:val="none"/>
                <w:lang w:val="en-US" w:eastAsia="zh-CN"/>
              </w:rPr>
            </w:pPr>
          </w:p>
        </w:tc>
      </w:tr>
      <w:tr w14:paraId="5EE262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93" w:hRule="atLeast"/>
        </w:trPr>
        <w:tc>
          <w:tcPr>
            <w:tcW w:w="8521" w:type="dxa"/>
            <w:tcBorders>
              <w:top w:val="single" w:color="000000" w:sz="4" w:space="0"/>
              <w:bottom w:val="single" w:color="000000" w:sz="4" w:space="0"/>
            </w:tcBorders>
          </w:tcPr>
          <w:p w14:paraId="38F8F61E">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left"/>
              <w:textAlignment w:val="auto"/>
              <w:rPr>
                <w:rFonts w:hint="eastAsia"/>
                <w:highlight w:val="none"/>
                <w:lang w:val="en-US" w:eastAsia="zh-CN"/>
              </w:rPr>
            </w:pPr>
          </w:p>
          <w:p w14:paraId="6742AFF3">
            <w:pPr>
              <w:bidi w:val="0"/>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inline distT="0" distB="0" distL="114300" distR="114300">
                  <wp:extent cx="5304790" cy="6590665"/>
                  <wp:effectExtent l="0" t="0" r="10160" b="63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6"/>
                          <a:stretch>
                            <a:fillRect/>
                          </a:stretch>
                        </pic:blipFill>
                        <pic:spPr>
                          <a:xfrm>
                            <a:off x="0" y="0"/>
                            <a:ext cx="5304790" cy="6590665"/>
                          </a:xfrm>
                          <a:prstGeom prst="rect">
                            <a:avLst/>
                          </a:prstGeom>
                          <a:noFill/>
                          <a:ln>
                            <a:noFill/>
                          </a:ln>
                        </pic:spPr>
                      </pic:pic>
                    </a:graphicData>
                  </a:graphic>
                </wp:inline>
              </w:drawing>
            </w:r>
          </w:p>
          <w:p w14:paraId="529E560E">
            <w:pPr>
              <w:jc w:val="center"/>
              <w:outlineLvl w:val="0"/>
              <w:rPr>
                <w:b/>
                <w:highlight w:val="none"/>
              </w:rPr>
            </w:pPr>
            <w:bookmarkStart w:id="3" w:name="_Toc1027"/>
            <w:r>
              <w:rPr>
                <w:rFonts w:hAnsi="宋体"/>
                <w:b/>
                <w:highlight w:val="none"/>
              </w:rPr>
              <w:t>图</w:t>
            </w:r>
            <w:r>
              <w:rPr>
                <w:b/>
                <w:highlight w:val="none"/>
              </w:rPr>
              <w:t>2-</w:t>
            </w:r>
            <w:r>
              <w:rPr>
                <w:rFonts w:hint="eastAsia"/>
                <w:b/>
                <w:highlight w:val="none"/>
                <w:lang w:val="en-US" w:eastAsia="zh-CN"/>
              </w:rPr>
              <w:t>5</w:t>
            </w:r>
            <w:r>
              <w:rPr>
                <w:b/>
                <w:highlight w:val="none"/>
              </w:rPr>
              <w:t xml:space="preserve">  </w:t>
            </w:r>
            <w:r>
              <w:rPr>
                <w:rFonts w:hint="eastAsia"/>
                <w:b/>
                <w:highlight w:val="none"/>
                <w:lang w:val="en-US" w:eastAsia="zh-CN"/>
              </w:rPr>
              <w:t>三</w:t>
            </w:r>
            <w:r>
              <w:rPr>
                <w:rFonts w:hAnsi="宋体"/>
                <w:b/>
                <w:highlight w:val="none"/>
              </w:rPr>
              <w:t>期场区平面布置图</w:t>
            </w:r>
            <w:bookmarkEnd w:id="3"/>
          </w:p>
          <w:p w14:paraId="70F82D5B">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left"/>
              <w:textAlignment w:val="auto"/>
              <w:rPr>
                <w:highlight w:val="none"/>
              </w:rPr>
            </w:pPr>
          </w:p>
          <w:p w14:paraId="2A87797D">
            <w:pPr>
              <w:bidi w:val="0"/>
              <w:rPr>
                <w:rFonts w:hint="eastAsia" w:ascii="Times New Roman" w:hAnsi="Times New Roman" w:eastAsia="宋体" w:cs="Times New Roman"/>
                <w:color w:val="auto"/>
                <w:highlight w:val="none"/>
                <w:lang w:val="en-US" w:eastAsia="zh-CN"/>
              </w:rPr>
            </w:pPr>
          </w:p>
          <w:p w14:paraId="6A7CC988">
            <w:pPr>
              <w:bidi w:val="0"/>
              <w:rPr>
                <w:rFonts w:hint="eastAsia"/>
                <w:highlight w:val="none"/>
                <w:lang w:val="en-US" w:eastAsia="zh-CN"/>
              </w:rPr>
            </w:pPr>
          </w:p>
          <w:p w14:paraId="795B5BFA">
            <w:pPr>
              <w:bidi w:val="0"/>
              <w:rPr>
                <w:rFonts w:hint="eastAsia"/>
                <w:highlight w:val="none"/>
                <w:lang w:val="en-US" w:eastAsia="zh-CN"/>
              </w:rPr>
            </w:pPr>
          </w:p>
          <w:p w14:paraId="6A7DB894">
            <w:pPr>
              <w:bidi w:val="0"/>
              <w:rPr>
                <w:rFonts w:hint="eastAsia"/>
                <w:highlight w:val="none"/>
                <w:lang w:val="en-US" w:eastAsia="zh-CN"/>
              </w:rPr>
            </w:pPr>
          </w:p>
          <w:p w14:paraId="4E3683CE">
            <w:pPr>
              <w:bidi w:val="0"/>
              <w:rPr>
                <w:rFonts w:hint="eastAsia"/>
                <w:highlight w:val="none"/>
                <w:lang w:val="en-US" w:eastAsia="zh-CN"/>
              </w:rPr>
            </w:pPr>
          </w:p>
          <w:p w14:paraId="386D24A4">
            <w:pPr>
              <w:bidi w:val="0"/>
              <w:jc w:val="center"/>
              <w:rPr>
                <w:rFonts w:hint="eastAsia"/>
                <w:highlight w:val="none"/>
                <w:lang w:val="en-US" w:eastAsia="zh-CN"/>
              </w:rPr>
            </w:pPr>
          </w:p>
        </w:tc>
      </w:tr>
      <w:tr w14:paraId="030BAC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93" w:hRule="atLeast"/>
        </w:trPr>
        <w:tc>
          <w:tcPr>
            <w:tcW w:w="8521" w:type="dxa"/>
            <w:tcBorders>
              <w:top w:val="single" w:color="000000" w:sz="4" w:space="0"/>
              <w:bottom w:val="single" w:color="000000" w:sz="4" w:space="0"/>
            </w:tcBorders>
          </w:tcPr>
          <w:p w14:paraId="58940073">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rPr>
                <w:highlight w:val="none"/>
              </w:rPr>
            </w:pPr>
            <w:r>
              <w:rPr>
                <w:highlight w:val="none"/>
              </w:rPr>
              <w:t>工程环境保护投资明细：</w:t>
            </w:r>
          </w:p>
          <w:p w14:paraId="0AE28C51">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highlight w:val="none"/>
              </w:rPr>
            </w:pPr>
            <w:r>
              <w:rPr>
                <w:highlight w:val="none"/>
              </w:rPr>
              <w:t>本项目环评中总投资</w:t>
            </w:r>
            <w:r>
              <w:rPr>
                <w:rFonts w:hint="eastAsia" w:ascii="Times New Roman"/>
                <w:highlight w:val="none"/>
                <w:lang w:val="en-US" w:eastAsia="zh-CN"/>
              </w:rPr>
              <w:t>61290</w:t>
            </w:r>
            <w:r>
              <w:rPr>
                <w:highlight w:val="none"/>
              </w:rPr>
              <w:t>万元，环评预期投资</w:t>
            </w:r>
            <w:r>
              <w:rPr>
                <w:rFonts w:hint="eastAsia" w:ascii="Times New Roman"/>
                <w:highlight w:val="none"/>
                <w:lang w:val="en-US" w:eastAsia="zh-CN"/>
              </w:rPr>
              <w:t>20</w:t>
            </w:r>
            <w:r>
              <w:rPr>
                <w:highlight w:val="none"/>
              </w:rPr>
              <w:t>万元，占总投资的</w:t>
            </w:r>
            <w:r>
              <w:rPr>
                <w:rFonts w:ascii="Times New Roman" w:eastAsia="Times New Roman"/>
                <w:highlight w:val="none"/>
              </w:rPr>
              <w:t>0.</w:t>
            </w:r>
            <w:r>
              <w:rPr>
                <w:rFonts w:hint="eastAsia" w:ascii="Times New Roman"/>
                <w:highlight w:val="none"/>
                <w:lang w:val="en-US" w:eastAsia="zh-CN"/>
              </w:rPr>
              <w:t>03</w:t>
            </w:r>
            <w:r>
              <w:rPr>
                <w:rFonts w:ascii="Times New Roman" w:eastAsia="Times New Roman"/>
                <w:highlight w:val="none"/>
              </w:rPr>
              <w:t>%</w:t>
            </w:r>
            <w:r>
              <w:rPr>
                <w:highlight w:val="none"/>
              </w:rPr>
              <w:t>， 实际总投资为</w:t>
            </w:r>
            <w:r>
              <w:rPr>
                <w:rFonts w:hint="eastAsia" w:ascii="Times New Roman"/>
                <w:sz w:val="24"/>
                <w:highlight w:val="none"/>
                <w:lang w:val="en-US" w:eastAsia="zh-CN"/>
              </w:rPr>
              <w:t>49032</w:t>
            </w:r>
            <w:r>
              <w:rPr>
                <w:highlight w:val="none"/>
              </w:rPr>
              <w:t>万元，环保投资</w:t>
            </w:r>
            <w:r>
              <w:rPr>
                <w:rFonts w:hint="eastAsia" w:ascii="Times New Roman"/>
                <w:highlight w:val="none"/>
                <w:lang w:val="en-US" w:eastAsia="zh-CN"/>
              </w:rPr>
              <w:t>14.7</w:t>
            </w:r>
            <w:r>
              <w:rPr>
                <w:highlight w:val="none"/>
              </w:rPr>
              <w:t>万元，占总投资额的</w:t>
            </w:r>
            <w:r>
              <w:rPr>
                <w:rFonts w:hint="eastAsia" w:ascii="Times New Roman" w:eastAsia="宋体"/>
                <w:highlight w:val="none"/>
                <w:lang w:val="en-US" w:eastAsia="zh-CN"/>
              </w:rPr>
              <w:t>0.03</w:t>
            </w:r>
            <w:r>
              <w:rPr>
                <w:rFonts w:ascii="Times New Roman" w:eastAsia="Times New Roman"/>
                <w:highlight w:val="none"/>
              </w:rPr>
              <w:t>%</w:t>
            </w:r>
            <w:r>
              <w:rPr>
                <w:highlight w:val="none"/>
              </w:rPr>
              <w:t>。具体投资见下表。</w:t>
            </w:r>
          </w:p>
          <w:p w14:paraId="754CD8A0">
            <w:pPr>
              <w:pStyle w:val="4"/>
              <w:spacing w:before="36" w:after="3"/>
              <w:ind w:left="193" w:right="216"/>
              <w:jc w:val="center"/>
              <w:rPr>
                <w:highlight w:val="none"/>
              </w:rPr>
            </w:pPr>
            <w:r>
              <w:rPr>
                <w:highlight w:val="none"/>
              </w:rPr>
              <w:t>表</w:t>
            </w:r>
            <w:r>
              <w:rPr>
                <w:rFonts w:ascii="Times New Roman" w:eastAsia="Times New Roman"/>
                <w:highlight w:val="none"/>
              </w:rPr>
              <w:t xml:space="preserve">4-5 </w:t>
            </w:r>
            <w:r>
              <w:rPr>
                <w:highlight w:val="none"/>
              </w:rPr>
              <w:t>环保投资明细（万元）</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993"/>
              <w:gridCol w:w="3096"/>
              <w:gridCol w:w="1264"/>
              <w:gridCol w:w="1207"/>
            </w:tblGrid>
            <w:tr w14:paraId="0BDA0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jc w:val="center"/>
              </w:trPr>
              <w:tc>
                <w:tcPr>
                  <w:tcW w:w="735" w:type="dxa"/>
                  <w:vAlign w:val="center"/>
                </w:tcPr>
                <w:p w14:paraId="0CB9E1D8">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类别</w:t>
                  </w:r>
                </w:p>
              </w:tc>
              <w:tc>
                <w:tcPr>
                  <w:tcW w:w="1993" w:type="dxa"/>
                  <w:vAlign w:val="center"/>
                </w:tcPr>
                <w:p w14:paraId="090B94F8">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污染源</w:t>
                  </w:r>
                </w:p>
              </w:tc>
              <w:tc>
                <w:tcPr>
                  <w:tcW w:w="3096" w:type="dxa"/>
                  <w:vAlign w:val="center"/>
                </w:tcPr>
                <w:p w14:paraId="6ED0DEEF">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治理内容</w:t>
                  </w:r>
                </w:p>
              </w:tc>
              <w:tc>
                <w:tcPr>
                  <w:tcW w:w="1264" w:type="dxa"/>
                  <w:vAlign w:val="center"/>
                </w:tcPr>
                <w:p w14:paraId="444CB4FF">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环评预期金额</w:t>
                  </w:r>
                </w:p>
              </w:tc>
              <w:tc>
                <w:tcPr>
                  <w:tcW w:w="1207" w:type="dxa"/>
                  <w:vAlign w:val="center"/>
                </w:tcPr>
                <w:p w14:paraId="506E76A0">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实际投资</w:t>
                  </w:r>
                </w:p>
              </w:tc>
            </w:tr>
            <w:tr w14:paraId="02497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735" w:type="dxa"/>
                  <w:vAlign w:val="center"/>
                </w:tcPr>
                <w:p w14:paraId="480105CE">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废气</w:t>
                  </w:r>
                </w:p>
              </w:tc>
              <w:tc>
                <w:tcPr>
                  <w:tcW w:w="1993" w:type="dxa"/>
                  <w:vAlign w:val="center"/>
                </w:tcPr>
                <w:p w14:paraId="7838F21C">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eastAsia="宋体"/>
                      <w:sz w:val="21"/>
                      <w:szCs w:val="21"/>
                      <w:highlight w:val="none"/>
                      <w:lang w:eastAsia="zh-CN"/>
                    </w:rPr>
                  </w:pPr>
                  <w:r>
                    <w:rPr>
                      <w:rFonts w:hint="eastAsia"/>
                      <w:sz w:val="21"/>
                      <w:szCs w:val="21"/>
                      <w:highlight w:val="none"/>
                      <w:lang w:val="en-US" w:eastAsia="zh-CN"/>
                    </w:rPr>
                    <w:t>/</w:t>
                  </w:r>
                </w:p>
              </w:tc>
              <w:tc>
                <w:tcPr>
                  <w:tcW w:w="3096" w:type="dxa"/>
                  <w:vAlign w:val="center"/>
                </w:tcPr>
                <w:p w14:paraId="5BEDBC23">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eastAsia="宋体"/>
                      <w:sz w:val="21"/>
                      <w:szCs w:val="21"/>
                      <w:highlight w:val="none"/>
                      <w:lang w:eastAsia="zh-CN"/>
                    </w:rPr>
                  </w:pPr>
                  <w:r>
                    <w:rPr>
                      <w:rFonts w:hint="eastAsia"/>
                      <w:sz w:val="21"/>
                      <w:szCs w:val="21"/>
                      <w:highlight w:val="none"/>
                      <w:lang w:val="en-US" w:eastAsia="zh-CN"/>
                    </w:rPr>
                    <w:t>/</w:t>
                  </w:r>
                </w:p>
              </w:tc>
              <w:tc>
                <w:tcPr>
                  <w:tcW w:w="1264" w:type="dxa"/>
                  <w:vAlign w:val="center"/>
                </w:tcPr>
                <w:p w14:paraId="385F2B8F">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eastAsia="宋体"/>
                      <w:sz w:val="21"/>
                      <w:szCs w:val="21"/>
                      <w:highlight w:val="none"/>
                      <w:lang w:eastAsia="zh-CN"/>
                    </w:rPr>
                  </w:pPr>
                  <w:r>
                    <w:rPr>
                      <w:rFonts w:hint="eastAsia" w:ascii="Times New Roman"/>
                      <w:w w:val="99"/>
                      <w:sz w:val="21"/>
                      <w:szCs w:val="21"/>
                      <w:highlight w:val="none"/>
                      <w:lang w:val="en-US" w:eastAsia="zh-CN"/>
                    </w:rPr>
                    <w:t>/</w:t>
                  </w:r>
                </w:p>
              </w:tc>
              <w:tc>
                <w:tcPr>
                  <w:tcW w:w="1207" w:type="dxa"/>
                  <w:vAlign w:val="center"/>
                </w:tcPr>
                <w:p w14:paraId="2A604C70">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eastAsia="宋体"/>
                      <w:sz w:val="21"/>
                      <w:szCs w:val="21"/>
                      <w:highlight w:val="none"/>
                      <w:lang w:eastAsia="zh-CN"/>
                    </w:rPr>
                  </w:pPr>
                  <w:r>
                    <w:rPr>
                      <w:rFonts w:hint="eastAsia" w:ascii="Times New Roman"/>
                      <w:w w:val="99"/>
                      <w:sz w:val="21"/>
                      <w:szCs w:val="21"/>
                      <w:highlight w:val="none"/>
                      <w:lang w:val="en-US" w:eastAsia="zh-CN"/>
                    </w:rPr>
                    <w:t>/</w:t>
                  </w:r>
                </w:p>
              </w:tc>
            </w:tr>
            <w:tr w14:paraId="38D9E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3" w:hRule="atLeast"/>
                <w:jc w:val="center"/>
              </w:trPr>
              <w:tc>
                <w:tcPr>
                  <w:tcW w:w="735" w:type="dxa"/>
                  <w:vAlign w:val="center"/>
                </w:tcPr>
                <w:p w14:paraId="2550C1BF">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废水</w:t>
                  </w:r>
                </w:p>
              </w:tc>
              <w:tc>
                <w:tcPr>
                  <w:tcW w:w="1993" w:type="dxa"/>
                  <w:vAlign w:val="center"/>
                </w:tcPr>
                <w:p w14:paraId="4EE0CA68">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sz w:val="21"/>
                      <w:szCs w:val="21"/>
                      <w:highlight w:val="none"/>
                    </w:rPr>
                  </w:pPr>
                  <w:r>
                    <w:rPr>
                      <w:sz w:val="21"/>
                      <w:szCs w:val="21"/>
                      <w:highlight w:val="none"/>
                    </w:rPr>
                    <w:t>光伏电池组件清洗废水</w:t>
                  </w:r>
                </w:p>
              </w:tc>
              <w:tc>
                <w:tcPr>
                  <w:tcW w:w="3096" w:type="dxa"/>
                  <w:vAlign w:val="center"/>
                </w:tcPr>
                <w:p w14:paraId="18C9DC0C">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default" w:eastAsia="宋体"/>
                      <w:sz w:val="21"/>
                      <w:szCs w:val="21"/>
                      <w:highlight w:val="none"/>
                      <w:lang w:val="en-US" w:eastAsia="zh-CN"/>
                    </w:rPr>
                  </w:pPr>
                  <w:r>
                    <w:rPr>
                      <w:rFonts w:hint="eastAsia"/>
                      <w:sz w:val="21"/>
                      <w:szCs w:val="21"/>
                      <w:highlight w:val="none"/>
                      <w:lang w:val="en-US" w:eastAsia="zh-CN"/>
                    </w:rPr>
                    <w:t>作为鱼塘补充水</w:t>
                  </w:r>
                </w:p>
              </w:tc>
              <w:tc>
                <w:tcPr>
                  <w:tcW w:w="1264" w:type="dxa"/>
                  <w:vAlign w:val="center"/>
                </w:tcPr>
                <w:p w14:paraId="3E85E045">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eastAsia" w:ascii="Times New Roman" w:eastAsia="宋体"/>
                      <w:sz w:val="21"/>
                      <w:szCs w:val="21"/>
                      <w:highlight w:val="none"/>
                      <w:lang w:eastAsia="zh-CN"/>
                    </w:rPr>
                  </w:pPr>
                  <w:r>
                    <w:rPr>
                      <w:rFonts w:hint="eastAsia" w:ascii="Times New Roman"/>
                      <w:sz w:val="21"/>
                      <w:szCs w:val="21"/>
                      <w:highlight w:val="none"/>
                      <w:lang w:val="en-US" w:eastAsia="zh-CN"/>
                    </w:rPr>
                    <w:t>/</w:t>
                  </w:r>
                </w:p>
              </w:tc>
              <w:tc>
                <w:tcPr>
                  <w:tcW w:w="1207" w:type="dxa"/>
                  <w:vAlign w:val="center"/>
                </w:tcPr>
                <w:p w14:paraId="7160D516">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hint="eastAsia" w:ascii="Times New Roman" w:eastAsia="宋体"/>
                      <w:sz w:val="21"/>
                      <w:szCs w:val="21"/>
                      <w:highlight w:val="none"/>
                      <w:lang w:eastAsia="zh-CN"/>
                    </w:rPr>
                  </w:pPr>
                  <w:r>
                    <w:rPr>
                      <w:rFonts w:hint="eastAsia" w:ascii="Times New Roman"/>
                      <w:sz w:val="21"/>
                      <w:szCs w:val="21"/>
                      <w:highlight w:val="none"/>
                      <w:lang w:val="en-US" w:eastAsia="zh-CN"/>
                    </w:rPr>
                    <w:t>/</w:t>
                  </w:r>
                </w:p>
              </w:tc>
            </w:tr>
            <w:tr w14:paraId="7ACBC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jc w:val="center"/>
              </w:trPr>
              <w:tc>
                <w:tcPr>
                  <w:tcW w:w="735" w:type="dxa"/>
                  <w:vAlign w:val="center"/>
                </w:tcPr>
                <w:p w14:paraId="1401D434">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噪声</w:t>
                  </w:r>
                </w:p>
              </w:tc>
              <w:tc>
                <w:tcPr>
                  <w:tcW w:w="1993" w:type="dxa"/>
                  <w:vAlign w:val="center"/>
                </w:tcPr>
                <w:p w14:paraId="195FBF94">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pacing w:val="-2"/>
                      <w:sz w:val="21"/>
                      <w:szCs w:val="21"/>
                      <w:highlight w:val="none"/>
                    </w:rPr>
                    <w:t>变压器冷却风扇的空</w:t>
                  </w:r>
                  <w:r>
                    <w:rPr>
                      <w:sz w:val="21"/>
                      <w:szCs w:val="21"/>
                      <w:highlight w:val="none"/>
                    </w:rPr>
                    <w:t>气动力噪声和变压</w:t>
                  </w:r>
                  <w:r>
                    <w:rPr>
                      <w:spacing w:val="-2"/>
                      <w:sz w:val="21"/>
                      <w:szCs w:val="21"/>
                      <w:highlight w:val="none"/>
                    </w:rPr>
                    <w:t>器、逆变器工作时产</w:t>
                  </w:r>
                </w:p>
                <w:p w14:paraId="3527D412">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生的噪声</w:t>
                  </w:r>
                </w:p>
              </w:tc>
              <w:tc>
                <w:tcPr>
                  <w:tcW w:w="3096" w:type="dxa"/>
                  <w:vAlign w:val="center"/>
                </w:tcPr>
                <w:p w14:paraId="5E950D1A">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pacing w:val="-9"/>
                      <w:sz w:val="21"/>
                      <w:szCs w:val="21"/>
                      <w:highlight w:val="none"/>
                    </w:rPr>
                    <w:t>变压器、逆变器位于箱内，通过基础减振、厂房隔声</w:t>
                  </w:r>
                </w:p>
              </w:tc>
              <w:tc>
                <w:tcPr>
                  <w:tcW w:w="1264" w:type="dxa"/>
                  <w:vAlign w:val="center"/>
                </w:tcPr>
                <w:p w14:paraId="25447BD5">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eastAsia="宋体"/>
                      <w:sz w:val="21"/>
                      <w:szCs w:val="21"/>
                      <w:highlight w:val="none"/>
                      <w:lang w:eastAsia="zh-CN"/>
                    </w:rPr>
                  </w:pPr>
                  <w:r>
                    <w:rPr>
                      <w:rFonts w:hint="eastAsia" w:ascii="Times New Roman"/>
                      <w:w w:val="99"/>
                      <w:sz w:val="21"/>
                      <w:szCs w:val="21"/>
                      <w:highlight w:val="none"/>
                      <w:lang w:val="en-US" w:eastAsia="zh-CN"/>
                    </w:rPr>
                    <w:t>2</w:t>
                  </w:r>
                </w:p>
              </w:tc>
              <w:tc>
                <w:tcPr>
                  <w:tcW w:w="1207" w:type="dxa"/>
                  <w:vAlign w:val="center"/>
                </w:tcPr>
                <w:p w14:paraId="3E4D9BC2">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eastAsia="宋体"/>
                      <w:sz w:val="21"/>
                      <w:szCs w:val="21"/>
                      <w:highlight w:val="none"/>
                      <w:lang w:eastAsia="zh-CN"/>
                    </w:rPr>
                  </w:pPr>
                  <w:r>
                    <w:rPr>
                      <w:rFonts w:hint="eastAsia" w:ascii="Times New Roman"/>
                      <w:sz w:val="21"/>
                      <w:szCs w:val="21"/>
                      <w:highlight w:val="none"/>
                      <w:lang w:val="en-US" w:eastAsia="zh-CN"/>
                    </w:rPr>
                    <w:t>2</w:t>
                  </w:r>
                </w:p>
              </w:tc>
            </w:tr>
            <w:tr w14:paraId="2EA47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6" w:hRule="atLeast"/>
                <w:jc w:val="center"/>
              </w:trPr>
              <w:tc>
                <w:tcPr>
                  <w:tcW w:w="735" w:type="dxa"/>
                  <w:vAlign w:val="center"/>
                </w:tcPr>
                <w:p w14:paraId="75F6F395">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固体废物</w:t>
                  </w:r>
                </w:p>
              </w:tc>
              <w:tc>
                <w:tcPr>
                  <w:tcW w:w="1993" w:type="dxa"/>
                  <w:vAlign w:val="center"/>
                </w:tcPr>
                <w:p w14:paraId="46AE6F51">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光伏发电系统产生的废旧或故障太阳能电池组件</w:t>
                  </w:r>
                </w:p>
              </w:tc>
              <w:tc>
                <w:tcPr>
                  <w:tcW w:w="3096" w:type="dxa"/>
                  <w:vAlign w:val="center"/>
                </w:tcPr>
                <w:p w14:paraId="20CD7256">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rFonts w:hint="eastAsia"/>
                      <w:w w:val="95"/>
                      <w:sz w:val="21"/>
                      <w:szCs w:val="21"/>
                      <w:highlight w:val="none"/>
                    </w:rPr>
                    <w:t>损坏更换的电池组件以及光伏电池组件</w:t>
                  </w:r>
                  <w:r>
                    <w:rPr>
                      <w:w w:val="95"/>
                      <w:sz w:val="21"/>
                      <w:szCs w:val="21"/>
                      <w:highlight w:val="none"/>
                    </w:rPr>
                    <w:t>收集后由光伏厂</w:t>
                  </w:r>
                  <w:r>
                    <w:rPr>
                      <w:sz w:val="21"/>
                      <w:szCs w:val="21"/>
                      <w:highlight w:val="none"/>
                    </w:rPr>
                    <w:t>家回收处理；</w:t>
                  </w:r>
                </w:p>
              </w:tc>
              <w:tc>
                <w:tcPr>
                  <w:tcW w:w="1264" w:type="dxa"/>
                  <w:vAlign w:val="center"/>
                </w:tcPr>
                <w:p w14:paraId="397D4C12">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ascii="Times New Roman"/>
                      <w:sz w:val="21"/>
                      <w:szCs w:val="21"/>
                      <w:highlight w:val="none"/>
                    </w:rPr>
                  </w:pPr>
                  <w:r>
                    <w:rPr>
                      <w:rFonts w:hint="eastAsia" w:ascii="Times New Roman"/>
                      <w:sz w:val="21"/>
                      <w:szCs w:val="21"/>
                      <w:highlight w:val="none"/>
                      <w:lang w:val="en-US" w:eastAsia="zh-CN"/>
                    </w:rPr>
                    <w:t>/</w:t>
                  </w:r>
                </w:p>
              </w:tc>
              <w:tc>
                <w:tcPr>
                  <w:tcW w:w="1207" w:type="dxa"/>
                  <w:vAlign w:val="center"/>
                </w:tcPr>
                <w:p w14:paraId="4E18EFD5">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jc w:val="center"/>
                    <w:textAlignment w:val="auto"/>
                    <w:rPr>
                      <w:rFonts w:ascii="Times New Roman"/>
                      <w:sz w:val="21"/>
                      <w:szCs w:val="21"/>
                      <w:highlight w:val="none"/>
                    </w:rPr>
                  </w:pPr>
                  <w:r>
                    <w:rPr>
                      <w:rFonts w:hint="eastAsia" w:ascii="Times New Roman"/>
                      <w:sz w:val="21"/>
                      <w:szCs w:val="21"/>
                      <w:highlight w:val="none"/>
                      <w:lang w:val="en-US" w:eastAsia="zh-CN"/>
                    </w:rPr>
                    <w:t>/</w:t>
                  </w:r>
                </w:p>
              </w:tc>
            </w:tr>
            <w:tr w14:paraId="2F8BF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735" w:type="dxa"/>
                  <w:vAlign w:val="center"/>
                </w:tcPr>
                <w:p w14:paraId="2B02DC2D">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生态</w:t>
                  </w:r>
                </w:p>
              </w:tc>
              <w:tc>
                <w:tcPr>
                  <w:tcW w:w="1993" w:type="dxa"/>
                  <w:vAlign w:val="center"/>
                </w:tcPr>
                <w:p w14:paraId="1E09272B">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绿化</w:t>
                  </w:r>
                </w:p>
              </w:tc>
              <w:tc>
                <w:tcPr>
                  <w:tcW w:w="3096" w:type="dxa"/>
                  <w:vAlign w:val="center"/>
                </w:tcPr>
                <w:p w14:paraId="7A1488A6">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种植当地牧草</w:t>
                  </w:r>
                </w:p>
              </w:tc>
              <w:tc>
                <w:tcPr>
                  <w:tcW w:w="1264" w:type="dxa"/>
                  <w:vAlign w:val="center"/>
                </w:tcPr>
                <w:p w14:paraId="2AAA0C7E">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eastAsia="宋体"/>
                      <w:sz w:val="21"/>
                      <w:szCs w:val="21"/>
                      <w:highlight w:val="none"/>
                      <w:lang w:val="en-US" w:eastAsia="zh-CN"/>
                    </w:rPr>
                  </w:pPr>
                  <w:r>
                    <w:rPr>
                      <w:rFonts w:hint="eastAsia" w:ascii="Times New Roman"/>
                      <w:w w:val="99"/>
                      <w:sz w:val="21"/>
                      <w:szCs w:val="21"/>
                      <w:highlight w:val="none"/>
                      <w:lang w:val="en-US" w:eastAsia="zh-CN"/>
                    </w:rPr>
                    <w:t>18</w:t>
                  </w:r>
                </w:p>
              </w:tc>
              <w:tc>
                <w:tcPr>
                  <w:tcW w:w="1207" w:type="dxa"/>
                  <w:vAlign w:val="center"/>
                </w:tcPr>
                <w:p w14:paraId="0E6B0C68">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12.7</w:t>
                  </w:r>
                </w:p>
              </w:tc>
            </w:tr>
            <w:tr w14:paraId="5B17B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5824" w:type="dxa"/>
                  <w:gridSpan w:val="3"/>
                  <w:vAlign w:val="center"/>
                </w:tcPr>
                <w:p w14:paraId="67F68836">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sz w:val="21"/>
                      <w:szCs w:val="21"/>
                      <w:highlight w:val="none"/>
                    </w:rPr>
                  </w:pPr>
                  <w:r>
                    <w:rPr>
                      <w:sz w:val="21"/>
                      <w:szCs w:val="21"/>
                      <w:highlight w:val="none"/>
                    </w:rPr>
                    <w:t>总投资</w:t>
                  </w:r>
                </w:p>
              </w:tc>
              <w:tc>
                <w:tcPr>
                  <w:tcW w:w="1264" w:type="dxa"/>
                  <w:vAlign w:val="center"/>
                </w:tcPr>
                <w:p w14:paraId="6FC05CA4">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20</w:t>
                  </w:r>
                </w:p>
              </w:tc>
              <w:tc>
                <w:tcPr>
                  <w:tcW w:w="1207" w:type="dxa"/>
                  <w:vAlign w:val="center"/>
                </w:tcPr>
                <w:p w14:paraId="2708A87F">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14.7</w:t>
                  </w:r>
                </w:p>
              </w:tc>
            </w:tr>
          </w:tbl>
          <w:p w14:paraId="5575447C">
            <w:pPr>
              <w:pStyle w:val="4"/>
              <w:spacing w:before="36" w:after="3"/>
              <w:ind w:left="193" w:right="216"/>
              <w:jc w:val="center"/>
              <w:rPr>
                <w:highlight w:val="none"/>
              </w:rPr>
            </w:pPr>
          </w:p>
          <w:p w14:paraId="7D90F14F">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left"/>
              <w:textAlignment w:val="auto"/>
              <w:rPr>
                <w:rFonts w:hint="eastAsia"/>
                <w:highlight w:val="none"/>
                <w:lang w:val="en-US" w:eastAsia="zh-CN"/>
              </w:rPr>
            </w:pPr>
          </w:p>
        </w:tc>
      </w:tr>
      <w:tr w14:paraId="03D9BF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93" w:hRule="atLeast"/>
        </w:trPr>
        <w:tc>
          <w:tcPr>
            <w:tcW w:w="8521" w:type="dxa"/>
            <w:tcBorders>
              <w:top w:val="single" w:color="000000" w:sz="4" w:space="0"/>
              <w:bottom w:val="single" w:color="000000" w:sz="4" w:space="0"/>
            </w:tcBorders>
          </w:tcPr>
          <w:p w14:paraId="660A0F19">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rPr>
                <w:highlight w:val="none"/>
              </w:rPr>
            </w:pPr>
            <w:r>
              <w:rPr>
                <w:highlight w:val="none"/>
              </w:rPr>
              <w:t>与项目有关的生态破坏、污染物排放、主要环境问题及环境保护措施</w:t>
            </w:r>
          </w:p>
          <w:p w14:paraId="3FA05E17">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eastAsia" w:eastAsia="宋体"/>
                <w:highlight w:val="none"/>
                <w:lang w:eastAsia="zh-CN"/>
              </w:rPr>
            </w:pPr>
            <w:r>
              <w:rPr>
                <w:rFonts w:ascii="Times New Roman" w:eastAsia="Times New Roman"/>
                <w:highlight w:val="none"/>
              </w:rPr>
              <w:t>1</w:t>
            </w:r>
            <w:r>
              <w:rPr>
                <w:highlight w:val="none"/>
              </w:rPr>
              <w:t>、生态</w:t>
            </w:r>
            <w:r>
              <w:rPr>
                <w:rFonts w:hint="eastAsia"/>
                <w:highlight w:val="none"/>
                <w:lang w:val="en-US" w:eastAsia="zh-CN"/>
              </w:rPr>
              <w:t>影响</w:t>
            </w:r>
          </w:p>
          <w:p w14:paraId="4489BC03">
            <w:pPr>
              <w:spacing w:line="360" w:lineRule="auto"/>
              <w:ind w:firstLine="440" w:firstLineChars="200"/>
              <w:rPr>
                <w:szCs w:val="21"/>
                <w:highlight w:val="none"/>
              </w:rPr>
            </w:pPr>
            <w:r>
              <w:rPr>
                <w:rFonts w:hAnsi="宋体"/>
                <w:bCs/>
                <w:szCs w:val="21"/>
                <w:highlight w:val="none"/>
              </w:rPr>
              <w:t>评价区域内人类开发活动历史悠久，</w:t>
            </w:r>
            <w:r>
              <w:rPr>
                <w:rFonts w:hAnsi="宋体"/>
                <w:szCs w:val="21"/>
                <w:highlight w:val="none"/>
              </w:rPr>
              <w:t>人为干扰程度相对较高，天然植被较少，主要植被类型为次生植被</w:t>
            </w:r>
            <w:r>
              <w:rPr>
                <w:rFonts w:hAnsi="宋体"/>
                <w:bCs/>
                <w:szCs w:val="21"/>
                <w:highlight w:val="none"/>
              </w:rPr>
              <w:t>，生态系统较为脆弱。评价区内没有发现珍稀、濒危植物分布。项目</w:t>
            </w:r>
            <w:r>
              <w:rPr>
                <w:rFonts w:hAnsi="宋体"/>
                <w:snapToGrid w:val="0"/>
                <w:szCs w:val="21"/>
                <w:highlight w:val="none"/>
              </w:rPr>
              <w:t>场地的建设和场地的平整，将破坏一定面积的地表植被，从而使地表的表层土壤受到扰动。</w:t>
            </w:r>
            <w:r>
              <w:rPr>
                <w:rFonts w:hAnsi="宋体"/>
                <w:bCs/>
                <w:szCs w:val="21"/>
                <w:highlight w:val="none"/>
              </w:rPr>
              <w:t>同时，由于修筑施工便道、打桩等需要排干洼地积水，原有鱼塘水环境受到一定的影响。</w:t>
            </w:r>
            <w:r>
              <w:rPr>
                <w:rFonts w:hAnsi="宋体"/>
                <w:szCs w:val="21"/>
                <w:highlight w:val="none"/>
              </w:rPr>
              <w:t>为尽量减少对鱼塘水环境的的影响，建议施工单位采取以下保护措施：</w:t>
            </w:r>
          </w:p>
          <w:p w14:paraId="6242EED4">
            <w:pPr>
              <w:spacing w:line="360" w:lineRule="auto"/>
              <w:ind w:firstLine="440" w:firstLineChars="200"/>
              <w:rPr>
                <w:bCs/>
                <w:szCs w:val="21"/>
                <w:highlight w:val="none"/>
              </w:rPr>
            </w:pPr>
            <w:r>
              <w:rPr>
                <w:rFonts w:hAnsi="宋体"/>
                <w:bCs/>
                <w:szCs w:val="21"/>
                <w:highlight w:val="none"/>
              </w:rPr>
              <w:t>施工期首先要采取预防保护措施，通过进一步优化施工布置，控制施工占地，减少对工程地区现有水环境的占压和破坏；加强施工管理，优化施工工艺，减轻工程活动对当地洼地水环境的不利影响；加强对施工人员的教育，尽量缩减人类活动的区域；合理安排施工，尽量避免高噪声设备的同时作业。</w:t>
            </w:r>
          </w:p>
          <w:p w14:paraId="5805189C">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highlight w:val="none"/>
              </w:rPr>
            </w:pPr>
            <w:r>
              <w:rPr>
                <w:rFonts w:hAnsi="宋体"/>
                <w:bCs/>
                <w:szCs w:val="21"/>
                <w:highlight w:val="none"/>
              </w:rPr>
              <w:t>施工过程中，光伏组件安装采用机械打桩及静压桩方法进行施工，由于修筑施工便道、打桩等需要排干洼地积水，原有鱼塘水环境受到一定的影响，由于施工周期较短，随着施工期的结束，光伏组件下水塘自然放养原有鱼种，控制养鱼数量，定期捕捞，保护项目区域的水域生态环境，总体上看，对鱼塘影响较小。</w:t>
            </w:r>
          </w:p>
          <w:p w14:paraId="7940175B">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left"/>
              <w:textAlignment w:val="auto"/>
              <w:rPr>
                <w:highlight w:val="none"/>
              </w:rPr>
            </w:pPr>
            <w:r>
              <w:rPr>
                <w:rFonts w:ascii="Times New Roman" w:eastAsia="Times New Roman"/>
                <w:highlight w:val="none"/>
              </w:rPr>
              <w:t>2</w:t>
            </w:r>
            <w:r>
              <w:rPr>
                <w:highlight w:val="none"/>
              </w:rPr>
              <w:t>、废气</w:t>
            </w:r>
          </w:p>
          <w:p w14:paraId="759D368E">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left"/>
              <w:textAlignment w:val="auto"/>
              <w:rPr>
                <w:highlight w:val="none"/>
              </w:rPr>
            </w:pPr>
            <w:r>
              <w:rPr>
                <w:highlight w:val="none"/>
              </w:rPr>
              <w:t>光伏发电是将太阳能转换为电能，在转换过程中没有废气排放</w:t>
            </w:r>
            <w:r>
              <w:rPr>
                <w:highlight w:val="none"/>
                <w:vertAlign w:val="baseline"/>
              </w:rPr>
              <w:t>。</w:t>
            </w:r>
          </w:p>
          <w:p w14:paraId="7DE54A9B">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left"/>
              <w:textAlignment w:val="auto"/>
              <w:rPr>
                <w:highlight w:val="none"/>
              </w:rPr>
            </w:pPr>
            <w:r>
              <w:rPr>
                <w:rFonts w:ascii="Times New Roman" w:eastAsia="Times New Roman"/>
                <w:highlight w:val="none"/>
              </w:rPr>
              <w:t>3</w:t>
            </w:r>
            <w:r>
              <w:rPr>
                <w:highlight w:val="none"/>
              </w:rPr>
              <w:t>、废水</w:t>
            </w:r>
          </w:p>
          <w:p w14:paraId="7A8AEB99">
            <w:pPr>
              <w:pStyle w:val="21"/>
              <w:keepNext w:val="0"/>
              <w:keepLines w:val="0"/>
              <w:pageBreakBefore w:val="0"/>
              <w:widowControl w:val="0"/>
              <w:numPr>
                <w:ilvl w:val="0"/>
                <w:numId w:val="0"/>
              </w:numPr>
              <w:tabs>
                <w:tab w:val="left" w:pos="983"/>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sz w:val="24"/>
                <w:szCs w:val="24"/>
                <w:highlight w:val="none"/>
              </w:rPr>
            </w:pPr>
            <w:r>
              <w:rPr>
                <w:rFonts w:hint="eastAsia"/>
                <w:sz w:val="24"/>
                <w:highlight w:val="none"/>
              </w:rPr>
              <w:t>项目营运期间产生的主要废水为：光伏组件的清洗废水直接排放鱼塘</w:t>
            </w:r>
            <w:r>
              <w:rPr>
                <w:sz w:val="24"/>
                <w:szCs w:val="24"/>
                <w:highlight w:val="none"/>
              </w:rPr>
              <w:t>，因此对地表水和地下水环境的影响较小。</w:t>
            </w:r>
          </w:p>
          <w:p w14:paraId="0AEE44E8">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highlight w:val="none"/>
              </w:rPr>
            </w:pPr>
            <w:r>
              <w:rPr>
                <w:rFonts w:ascii="Times New Roman" w:eastAsia="Times New Roman"/>
                <w:highlight w:val="none"/>
              </w:rPr>
              <w:t>4</w:t>
            </w:r>
            <w:r>
              <w:rPr>
                <w:highlight w:val="none"/>
              </w:rPr>
              <w:t>、噪声</w:t>
            </w:r>
          </w:p>
          <w:p w14:paraId="2D3F405E">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left"/>
              <w:textAlignment w:val="auto"/>
              <w:rPr>
                <w:highlight w:val="none"/>
              </w:rPr>
            </w:pPr>
            <w:r>
              <w:rPr>
                <w:spacing w:val="-5"/>
                <w:highlight w:val="none"/>
              </w:rPr>
              <w:t>光伏发电利用太阳能电池将太阳光能直接转化为电能。主要噪声为</w:t>
            </w:r>
            <w:r>
              <w:rPr>
                <w:rFonts w:hAnsi="宋体"/>
                <w:color w:val="000000"/>
                <w:kern w:val="0"/>
                <w:szCs w:val="21"/>
                <w:highlight w:val="none"/>
              </w:rPr>
              <w:t>箱逆变升压一体机</w:t>
            </w:r>
            <w:r>
              <w:rPr>
                <w:spacing w:val="-3"/>
                <w:highlight w:val="none"/>
              </w:rPr>
              <w:t>产生的噪声，设备噪声</w:t>
            </w:r>
            <w:r>
              <w:rPr>
                <w:rFonts w:hint="eastAsia"/>
                <w:spacing w:val="-3"/>
                <w:highlight w:val="none"/>
                <w:lang w:val="en-US" w:eastAsia="zh-CN"/>
              </w:rPr>
              <w:t>约52d</w:t>
            </w:r>
            <w:r>
              <w:rPr>
                <w:rFonts w:ascii="Times New Roman" w:eastAsia="Times New Roman"/>
                <w:highlight w:val="none"/>
              </w:rPr>
              <w:t>B</w:t>
            </w:r>
            <w:r>
              <w:rPr>
                <w:rFonts w:hint="eastAsia" w:ascii="Times New Roman"/>
                <w:highlight w:val="none"/>
                <w:lang w:eastAsia="zh-CN"/>
              </w:rPr>
              <w:t>（</w:t>
            </w:r>
            <w:r>
              <w:rPr>
                <w:rFonts w:hint="eastAsia" w:ascii="Times New Roman"/>
                <w:highlight w:val="none"/>
                <w:lang w:val="en-US" w:eastAsia="zh-CN"/>
              </w:rPr>
              <w:t>A</w:t>
            </w:r>
            <w:r>
              <w:rPr>
                <w:rFonts w:hint="eastAsia" w:ascii="Times New Roman"/>
                <w:highlight w:val="none"/>
                <w:lang w:eastAsia="zh-CN"/>
              </w:rPr>
              <w:t>）</w:t>
            </w:r>
            <w:r>
              <w:rPr>
                <w:spacing w:val="-2"/>
                <w:highlight w:val="none"/>
              </w:rPr>
              <w:t>项目噪声源产生的声经建筑隔</w:t>
            </w:r>
            <w:r>
              <w:rPr>
                <w:highlight w:val="none"/>
              </w:rPr>
              <w:t>声和距离衰减后，至厂界时可满足《工业企业厂界环境噪声排放标》</w:t>
            </w:r>
            <w:r>
              <w:rPr>
                <w:rFonts w:ascii="Times New Roman" w:eastAsia="Times New Roman"/>
                <w:highlight w:val="none"/>
              </w:rPr>
              <w:t>(GB12348-2008)</w:t>
            </w:r>
            <w:r>
              <w:rPr>
                <w:highlight w:val="none"/>
              </w:rPr>
              <w:t>中</w:t>
            </w:r>
            <w:r>
              <w:rPr>
                <w:rFonts w:hint="eastAsia" w:ascii="Times New Roman"/>
                <w:highlight w:val="none"/>
                <w:lang w:val="en-US" w:eastAsia="zh-CN"/>
              </w:rPr>
              <w:t>2</w:t>
            </w:r>
            <w:r>
              <w:rPr>
                <w:highlight w:val="none"/>
              </w:rPr>
              <w:t>类功能区环境噪声排放限值。</w:t>
            </w:r>
          </w:p>
          <w:p w14:paraId="574ABACD">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highlight w:val="none"/>
              </w:rPr>
            </w:pPr>
            <w:r>
              <w:rPr>
                <w:rFonts w:ascii="Times New Roman" w:eastAsia="Times New Roman"/>
                <w:highlight w:val="none"/>
              </w:rPr>
              <w:t>5</w:t>
            </w:r>
            <w:r>
              <w:rPr>
                <w:highlight w:val="none"/>
              </w:rPr>
              <w:t>、固体废物</w:t>
            </w:r>
          </w:p>
          <w:p w14:paraId="042BEAD3">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highlight w:val="none"/>
              </w:rPr>
            </w:pPr>
            <w:r>
              <w:rPr>
                <w:highlight w:val="none"/>
              </w:rPr>
              <w:t>本期工程营运期产生的固体废物主要是</w:t>
            </w:r>
            <w:r>
              <w:rPr>
                <w:rFonts w:hint="eastAsia"/>
                <w:highlight w:val="none"/>
              </w:rPr>
              <w:t>损坏更换的电池组件以及光伏电池组件</w:t>
            </w:r>
            <w:r>
              <w:rPr>
                <w:rFonts w:hint="eastAsia"/>
                <w:highlight w:val="none"/>
                <w:lang w:eastAsia="zh-CN"/>
              </w:rPr>
              <w:t>，</w:t>
            </w:r>
            <w:r>
              <w:rPr>
                <w:rFonts w:hAnsi="宋体"/>
                <w:szCs w:val="21"/>
                <w:highlight w:val="none"/>
              </w:rPr>
              <w:t>项目所用晶硅电池组件不属于危险废物，厂区内部均不设置临时储存点，直接由设备厂家回收</w:t>
            </w:r>
            <w:r>
              <w:rPr>
                <w:highlight w:val="none"/>
              </w:rPr>
              <w:t>。</w:t>
            </w:r>
          </w:p>
          <w:p w14:paraId="462C7E17">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left"/>
              <w:textAlignment w:val="auto"/>
              <w:rPr>
                <w:rFonts w:hint="eastAsia"/>
                <w:highlight w:val="none"/>
                <w:lang w:val="en-US" w:eastAsia="zh-CN"/>
              </w:rPr>
            </w:pPr>
          </w:p>
        </w:tc>
      </w:tr>
    </w:tbl>
    <w:p w14:paraId="343EAF71">
      <w:pPr>
        <w:spacing w:after="0" w:line="374" w:lineRule="auto"/>
        <w:jc w:val="both"/>
        <w:rPr>
          <w:sz w:val="24"/>
          <w:highlight w:val="none"/>
        </w:rPr>
        <w:sectPr>
          <w:pgSz w:w="11910" w:h="16840"/>
          <w:pgMar w:top="1420" w:right="1440" w:bottom="1340" w:left="1580" w:header="0" w:footer="1160" w:gutter="0"/>
          <w:cols w:space="720" w:num="1"/>
        </w:sectPr>
      </w:pPr>
    </w:p>
    <w:p w14:paraId="37BC3113">
      <w:pPr>
        <w:pStyle w:val="2"/>
        <w:tabs>
          <w:tab w:val="left" w:pos="801"/>
        </w:tabs>
        <w:spacing w:before="47"/>
        <w:ind w:right="139"/>
        <w:rPr>
          <w:highlight w:val="none"/>
        </w:rPr>
      </w:pPr>
      <w:r>
        <w:rPr>
          <w:highlight w:val="none"/>
        </w:rPr>
        <w:t>表</w:t>
      </w:r>
      <w:r>
        <w:rPr>
          <w:rFonts w:ascii="Times New Roman" w:eastAsia="Times New Roman"/>
          <w:highlight w:val="none"/>
        </w:rPr>
        <w:t>5</w:t>
      </w:r>
      <w:r>
        <w:rPr>
          <w:rFonts w:ascii="Times New Roman" w:eastAsia="Times New Roman"/>
          <w:highlight w:val="none"/>
        </w:rPr>
        <w:tab/>
      </w:r>
      <w:r>
        <w:rPr>
          <w:highlight w:val="none"/>
        </w:rPr>
        <w:t>环境影响评价回顾</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6"/>
      </w:tblGrid>
      <w:tr w14:paraId="074F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106" w:type="dxa"/>
          </w:tcPr>
          <w:p w14:paraId="5763DBE2">
            <w:pPr>
              <w:pStyle w:val="4"/>
              <w:keepNext w:val="0"/>
              <w:keepLines w:val="0"/>
              <w:pageBreakBefore w:val="0"/>
              <w:widowControl w:val="0"/>
              <w:kinsoku/>
              <w:wordWrap/>
              <w:overflowPunct/>
              <w:topLinePunct w:val="0"/>
              <w:autoSpaceDE w:val="0"/>
              <w:autoSpaceDN w:val="0"/>
              <w:bidi w:val="0"/>
              <w:adjustRightInd/>
              <w:snapToGrid/>
              <w:spacing w:before="58" w:line="243" w:lineRule="auto"/>
              <w:ind w:left="0" w:right="0"/>
              <w:textAlignment w:val="auto"/>
              <w:rPr>
                <w:highlight w:val="none"/>
              </w:rPr>
            </w:pPr>
            <w:r>
              <w:rPr>
                <w:highlight w:val="none"/>
              </w:rPr>
              <w:t>环境影响评价的主要环境影响预测及结论</w:t>
            </w:r>
          </w:p>
          <w:p w14:paraId="7EDAC5AF">
            <w:pPr>
              <w:pStyle w:val="5"/>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firstLine="480" w:firstLineChars="200"/>
              <w:textAlignment w:val="auto"/>
              <w:rPr>
                <w:sz w:val="24"/>
                <w:szCs w:val="24"/>
                <w:highlight w:val="none"/>
              </w:rPr>
            </w:pPr>
            <w:r>
              <w:rPr>
                <w:sz w:val="24"/>
                <w:szCs w:val="24"/>
                <w:highlight w:val="none"/>
              </w:rPr>
              <w:t>产业政策</w:t>
            </w:r>
          </w:p>
          <w:p w14:paraId="34133894">
            <w:pPr>
              <w:keepNext w:val="0"/>
              <w:keepLines w:val="0"/>
              <w:pageBreakBefore w:val="0"/>
              <w:widowControl w:val="0"/>
              <w:kinsoku/>
              <w:wordWrap/>
              <w:overflowPunct/>
              <w:topLinePunct w:val="0"/>
              <w:autoSpaceDE w:val="0"/>
              <w:autoSpaceDN w:val="0"/>
              <w:bidi w:val="0"/>
              <w:spacing w:line="360" w:lineRule="auto"/>
              <w:ind w:leftChars="0" w:firstLine="480" w:firstLineChars="200"/>
              <w:textAlignment w:val="auto"/>
              <w:rPr>
                <w:rFonts w:hAnsi="宋体"/>
                <w:sz w:val="24"/>
                <w:szCs w:val="24"/>
                <w:highlight w:val="none"/>
              </w:rPr>
            </w:pPr>
            <w:r>
              <w:rPr>
                <w:rFonts w:hAnsi="宋体"/>
                <w:sz w:val="24"/>
                <w:szCs w:val="24"/>
                <w:highlight w:val="none"/>
              </w:rPr>
              <w:t>本工程类别属《产业结构调整指导目录（</w:t>
            </w:r>
            <w:r>
              <w:rPr>
                <w:sz w:val="24"/>
                <w:szCs w:val="24"/>
                <w:highlight w:val="none"/>
              </w:rPr>
              <w:t>2019</w:t>
            </w:r>
            <w:r>
              <w:rPr>
                <w:rFonts w:hAnsi="宋体"/>
                <w:sz w:val="24"/>
                <w:szCs w:val="24"/>
                <w:highlight w:val="none"/>
              </w:rPr>
              <w:t>年本）》第五款新能源第二条</w:t>
            </w:r>
            <w:r>
              <w:rPr>
                <w:sz w:val="24"/>
                <w:szCs w:val="24"/>
                <w:highlight w:val="none"/>
              </w:rPr>
              <w:t>“</w:t>
            </w:r>
            <w:r>
              <w:rPr>
                <w:rFonts w:hAnsi="宋体"/>
                <w:sz w:val="24"/>
                <w:szCs w:val="24"/>
                <w:highlight w:val="none"/>
              </w:rPr>
              <w:t>风电与光伏发电互补系统技术开发与应用</w:t>
            </w:r>
            <w:r>
              <w:rPr>
                <w:sz w:val="24"/>
                <w:szCs w:val="24"/>
                <w:highlight w:val="none"/>
              </w:rPr>
              <w:t>”</w:t>
            </w:r>
            <w:r>
              <w:rPr>
                <w:rFonts w:hAnsi="宋体"/>
                <w:sz w:val="24"/>
                <w:szCs w:val="24"/>
                <w:highlight w:val="none"/>
              </w:rPr>
              <w:t>，属鼓励类，符合国家产业政策。</w:t>
            </w:r>
          </w:p>
          <w:p w14:paraId="2A96298D">
            <w:pPr>
              <w:pStyle w:val="5"/>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firstLine="480" w:firstLineChars="200"/>
              <w:textAlignment w:val="auto"/>
              <w:rPr>
                <w:sz w:val="24"/>
                <w:szCs w:val="24"/>
                <w:highlight w:val="none"/>
              </w:rPr>
            </w:pPr>
            <w:r>
              <w:rPr>
                <w:sz w:val="24"/>
                <w:szCs w:val="24"/>
                <w:highlight w:val="none"/>
              </w:rPr>
              <w:t>项目选址</w:t>
            </w:r>
          </w:p>
          <w:p w14:paraId="30CF19F5">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80" w:firstLineChars="200"/>
              <w:textAlignment w:val="auto"/>
              <w:rPr>
                <w:sz w:val="24"/>
                <w:szCs w:val="24"/>
                <w:highlight w:val="none"/>
              </w:rPr>
            </w:pPr>
            <w:r>
              <w:rPr>
                <w:rFonts w:hAnsi="宋体"/>
                <w:sz w:val="24"/>
                <w:szCs w:val="24"/>
                <w:highlight w:val="none"/>
              </w:rPr>
              <w:t>拟建项目涉及但不占用广东台山镇海湾红树林国家湿地公园，不涉及自然保护区、风景名胜区、世界文化和自然遗产地以及饮用水水源保护区，项目周边以鱼塘为主，为人类活动密集区域，项目所在地环境敏感性较低。拟建项目建设不涉及台山市城市规划区，不涉及各乡镇城镇规划区，项目选址无规划制约因素。</w:t>
            </w:r>
          </w:p>
          <w:p w14:paraId="320F3608">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480" w:firstLineChars="200"/>
              <w:textAlignment w:val="auto"/>
              <w:rPr>
                <w:sz w:val="24"/>
                <w:szCs w:val="24"/>
                <w:highlight w:val="none"/>
              </w:rPr>
            </w:pPr>
            <w:r>
              <w:rPr>
                <w:rFonts w:ascii="Times New Roman" w:eastAsia="Times New Roman"/>
                <w:sz w:val="24"/>
                <w:szCs w:val="24"/>
                <w:highlight w:val="none"/>
              </w:rPr>
              <w:t>3</w:t>
            </w:r>
            <w:r>
              <w:rPr>
                <w:sz w:val="24"/>
                <w:szCs w:val="24"/>
                <w:highlight w:val="none"/>
              </w:rPr>
              <w:t>、污染防治措施可行性及环境影响分析结论</w:t>
            </w:r>
          </w:p>
          <w:p w14:paraId="3A462C07">
            <w:pPr>
              <w:pStyle w:val="21"/>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360" w:lineRule="auto"/>
              <w:ind w:leftChars="200" w:right="0" w:rightChars="0"/>
              <w:jc w:val="left"/>
              <w:textAlignment w:val="auto"/>
              <w:rPr>
                <w:sz w:val="24"/>
                <w:szCs w:val="24"/>
                <w:highlight w:val="none"/>
              </w:rPr>
            </w:pPr>
            <w:r>
              <w:rPr>
                <w:rFonts w:hint="eastAsia"/>
                <w:sz w:val="24"/>
                <w:szCs w:val="24"/>
                <w:highlight w:val="none"/>
                <w:lang w:eastAsia="zh-CN"/>
              </w:rPr>
              <w:t>（</w:t>
            </w:r>
            <w:r>
              <w:rPr>
                <w:rFonts w:hint="eastAsia"/>
                <w:sz w:val="24"/>
                <w:szCs w:val="24"/>
                <w:highlight w:val="none"/>
                <w:lang w:val="en-US" w:eastAsia="zh-CN"/>
              </w:rPr>
              <w:t>1</w:t>
            </w:r>
            <w:r>
              <w:rPr>
                <w:rFonts w:hint="eastAsia"/>
                <w:sz w:val="24"/>
                <w:szCs w:val="24"/>
                <w:highlight w:val="none"/>
                <w:lang w:eastAsia="zh-CN"/>
              </w:rPr>
              <w:t>）</w:t>
            </w:r>
            <w:r>
              <w:rPr>
                <w:sz w:val="24"/>
                <w:szCs w:val="24"/>
                <w:highlight w:val="none"/>
              </w:rPr>
              <w:t>大气环境</w:t>
            </w:r>
          </w:p>
          <w:p w14:paraId="769E8316">
            <w:pPr>
              <w:pStyle w:val="21"/>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sz w:val="24"/>
                <w:szCs w:val="24"/>
                <w:highlight w:val="none"/>
              </w:rPr>
            </w:pPr>
            <w:r>
              <w:rPr>
                <w:rFonts w:hAnsi="宋体"/>
                <w:sz w:val="24"/>
                <w:szCs w:val="24"/>
                <w:highlight w:val="none"/>
              </w:rPr>
              <w:t>本项目营运期无生产性废气产生，因此不作大气环境影响定级和分析。</w:t>
            </w:r>
          </w:p>
          <w:p w14:paraId="45115C9A">
            <w:pPr>
              <w:pStyle w:val="21"/>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360" w:lineRule="auto"/>
              <w:ind w:leftChars="200" w:right="0" w:rightChars="0"/>
              <w:jc w:val="left"/>
              <w:textAlignment w:val="auto"/>
              <w:rPr>
                <w:sz w:val="24"/>
                <w:szCs w:val="24"/>
                <w:highlight w:val="none"/>
              </w:rPr>
            </w:pPr>
            <w:r>
              <w:rPr>
                <w:rFonts w:hint="eastAsia"/>
                <w:sz w:val="24"/>
                <w:szCs w:val="24"/>
                <w:highlight w:val="none"/>
                <w:lang w:eastAsia="zh-CN"/>
              </w:rPr>
              <w:t>（</w:t>
            </w:r>
            <w:r>
              <w:rPr>
                <w:rFonts w:hint="eastAsia"/>
                <w:sz w:val="24"/>
                <w:szCs w:val="24"/>
                <w:highlight w:val="none"/>
                <w:lang w:val="en-US" w:eastAsia="zh-CN"/>
              </w:rPr>
              <w:t>2</w:t>
            </w:r>
            <w:r>
              <w:rPr>
                <w:rFonts w:hint="eastAsia"/>
                <w:sz w:val="24"/>
                <w:szCs w:val="24"/>
                <w:highlight w:val="none"/>
                <w:lang w:eastAsia="zh-CN"/>
              </w:rPr>
              <w:t>）</w:t>
            </w:r>
            <w:r>
              <w:rPr>
                <w:sz w:val="24"/>
                <w:szCs w:val="24"/>
                <w:highlight w:val="none"/>
              </w:rPr>
              <w:t>水环境影响分析</w:t>
            </w:r>
          </w:p>
          <w:p w14:paraId="7169244F">
            <w:pPr>
              <w:keepNext w:val="0"/>
              <w:keepLines w:val="0"/>
              <w:pageBreakBefore w:val="0"/>
              <w:widowControl w:val="0"/>
              <w:kinsoku/>
              <w:wordWrap/>
              <w:overflowPunct/>
              <w:topLinePunct w:val="0"/>
              <w:autoSpaceDE w:val="0"/>
              <w:autoSpaceDN w:val="0"/>
              <w:bidi w:val="0"/>
              <w:spacing w:line="360" w:lineRule="auto"/>
              <w:ind w:leftChars="0" w:firstLine="480" w:firstLineChars="200"/>
              <w:textAlignment w:val="auto"/>
              <w:rPr>
                <w:sz w:val="24"/>
                <w:szCs w:val="24"/>
                <w:highlight w:val="none"/>
              </w:rPr>
            </w:pPr>
            <w:r>
              <w:rPr>
                <w:rFonts w:hAnsi="宋体"/>
                <w:sz w:val="24"/>
                <w:szCs w:val="24"/>
                <w:highlight w:val="none"/>
              </w:rPr>
              <w:t>根据工程分析，本项目光伏组件的清洗废水</w:t>
            </w:r>
            <w:r>
              <w:rPr>
                <w:rFonts w:hAnsi="宋体"/>
                <w:color w:val="000000"/>
                <w:sz w:val="24"/>
                <w:szCs w:val="24"/>
                <w:highlight w:val="none"/>
              </w:rPr>
              <w:t>排入光伏组件下方的鱼塘，不直接排入水体，故确定本项目水环境评价等级定为三级</w:t>
            </w:r>
            <w:r>
              <w:rPr>
                <w:color w:val="000000"/>
                <w:sz w:val="24"/>
                <w:szCs w:val="24"/>
                <w:highlight w:val="none"/>
              </w:rPr>
              <w:t>B</w:t>
            </w:r>
            <w:r>
              <w:rPr>
                <w:rFonts w:hAnsi="宋体"/>
                <w:sz w:val="24"/>
                <w:szCs w:val="24"/>
                <w:highlight w:val="none"/>
              </w:rPr>
              <w:t>。</w:t>
            </w:r>
          </w:p>
          <w:p w14:paraId="7335C9BF">
            <w:pPr>
              <w:keepNext w:val="0"/>
              <w:keepLines w:val="0"/>
              <w:pageBreakBefore w:val="0"/>
              <w:widowControl w:val="0"/>
              <w:kinsoku/>
              <w:wordWrap/>
              <w:overflowPunct/>
              <w:topLinePunct w:val="0"/>
              <w:autoSpaceDE w:val="0"/>
              <w:autoSpaceDN w:val="0"/>
              <w:bidi w:val="0"/>
              <w:adjustRightInd w:val="0"/>
              <w:spacing w:line="360" w:lineRule="auto"/>
              <w:ind w:leftChars="0" w:firstLine="480" w:firstLineChars="200"/>
              <w:jc w:val="left"/>
              <w:textAlignment w:val="auto"/>
              <w:rPr>
                <w:kern w:val="0"/>
                <w:sz w:val="24"/>
                <w:szCs w:val="24"/>
                <w:highlight w:val="none"/>
              </w:rPr>
            </w:pPr>
            <w:r>
              <w:rPr>
                <w:rFonts w:hAnsi="宋体"/>
                <w:sz w:val="24"/>
                <w:szCs w:val="24"/>
                <w:highlight w:val="none"/>
              </w:rPr>
              <w:t>清洗废水直排鱼塘可行性分析：项目清洗废水量为</w:t>
            </w:r>
            <w:r>
              <w:rPr>
                <w:sz w:val="24"/>
                <w:szCs w:val="24"/>
                <w:highlight w:val="none"/>
              </w:rPr>
              <w:t>33660m</w:t>
            </w:r>
            <w:r>
              <w:rPr>
                <w:sz w:val="24"/>
                <w:szCs w:val="24"/>
                <w:highlight w:val="none"/>
                <w:vertAlign w:val="superscript"/>
              </w:rPr>
              <w:t>3</w:t>
            </w:r>
            <w:r>
              <w:rPr>
                <w:sz w:val="24"/>
                <w:szCs w:val="24"/>
                <w:highlight w:val="none"/>
              </w:rPr>
              <w:t>/a</w:t>
            </w:r>
            <w:r>
              <w:rPr>
                <w:rFonts w:hAnsi="宋体"/>
                <w:sz w:val="24"/>
                <w:szCs w:val="24"/>
                <w:highlight w:val="none"/>
              </w:rPr>
              <w:t>，清洗过程产生的废水除含</w:t>
            </w:r>
            <w:r>
              <w:rPr>
                <w:sz w:val="24"/>
                <w:szCs w:val="24"/>
                <w:highlight w:val="none"/>
              </w:rPr>
              <w:t>SS</w:t>
            </w:r>
            <w:r>
              <w:rPr>
                <w:rFonts w:hAnsi="宋体"/>
                <w:sz w:val="24"/>
                <w:szCs w:val="24"/>
                <w:highlight w:val="none"/>
              </w:rPr>
              <w:t>外无其他污染物质，根据已建成的渔光互补光伏电站的经验，该部分水可直接排放鱼塘是可行的，不会对鱼类的养殖产生不利影响。</w:t>
            </w:r>
          </w:p>
          <w:p w14:paraId="4E587505">
            <w:pPr>
              <w:pStyle w:val="21"/>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360" w:lineRule="auto"/>
              <w:ind w:leftChars="200" w:right="0" w:rightChars="0"/>
              <w:jc w:val="left"/>
              <w:textAlignment w:val="auto"/>
              <w:rPr>
                <w:sz w:val="24"/>
                <w:szCs w:val="24"/>
                <w:highlight w:val="none"/>
              </w:rPr>
            </w:pPr>
            <w:r>
              <w:rPr>
                <w:rFonts w:hint="eastAsia"/>
                <w:sz w:val="24"/>
                <w:szCs w:val="24"/>
                <w:highlight w:val="none"/>
                <w:lang w:eastAsia="zh-CN"/>
              </w:rPr>
              <w:t>（</w:t>
            </w:r>
            <w:r>
              <w:rPr>
                <w:rFonts w:hint="eastAsia"/>
                <w:sz w:val="24"/>
                <w:szCs w:val="24"/>
                <w:highlight w:val="none"/>
                <w:lang w:val="en-US" w:eastAsia="zh-CN"/>
              </w:rPr>
              <w:t>3</w:t>
            </w:r>
            <w:r>
              <w:rPr>
                <w:rFonts w:hint="eastAsia"/>
                <w:sz w:val="24"/>
                <w:szCs w:val="24"/>
                <w:highlight w:val="none"/>
                <w:lang w:eastAsia="zh-CN"/>
              </w:rPr>
              <w:t>）</w:t>
            </w:r>
            <w:r>
              <w:rPr>
                <w:sz w:val="24"/>
                <w:szCs w:val="24"/>
                <w:highlight w:val="none"/>
              </w:rPr>
              <w:t>噪声</w:t>
            </w:r>
          </w:p>
          <w:p w14:paraId="21E2BE9F">
            <w:pPr>
              <w:keepNext w:val="0"/>
              <w:keepLines w:val="0"/>
              <w:pageBreakBefore w:val="0"/>
              <w:widowControl w:val="0"/>
              <w:kinsoku/>
              <w:wordWrap/>
              <w:overflowPunct/>
              <w:topLinePunct w:val="0"/>
              <w:autoSpaceDE w:val="0"/>
              <w:autoSpaceDN w:val="0"/>
              <w:bidi w:val="0"/>
              <w:spacing w:line="360" w:lineRule="auto"/>
              <w:ind w:leftChars="0" w:firstLine="480" w:firstLineChars="200"/>
              <w:textAlignment w:val="auto"/>
              <w:rPr>
                <w:color w:val="000000"/>
                <w:sz w:val="24"/>
                <w:szCs w:val="24"/>
                <w:highlight w:val="none"/>
                <w:u w:val="none"/>
              </w:rPr>
            </w:pPr>
            <w:r>
              <w:rPr>
                <w:rFonts w:hAnsi="宋体"/>
                <w:color w:val="000000"/>
                <w:sz w:val="24"/>
                <w:szCs w:val="24"/>
                <w:highlight w:val="none"/>
                <w:u w:val="none"/>
              </w:rPr>
              <w:t>项目为光伏发电项目，夜间不作业。根据预测结果，一二期场区和三期场区东、南、西、北面厂界噪声贡献值符合《工业企业厂界环境噪声排放标准》（</w:t>
            </w:r>
            <w:r>
              <w:rPr>
                <w:color w:val="000000"/>
                <w:sz w:val="24"/>
                <w:szCs w:val="24"/>
                <w:highlight w:val="none"/>
                <w:u w:val="none"/>
              </w:rPr>
              <w:t>GB12348-2008</w:t>
            </w:r>
            <w:r>
              <w:rPr>
                <w:rFonts w:hAnsi="宋体"/>
                <w:color w:val="000000"/>
                <w:sz w:val="24"/>
                <w:szCs w:val="24"/>
                <w:highlight w:val="none"/>
                <w:u w:val="none"/>
              </w:rPr>
              <w:t>）</w:t>
            </w:r>
            <w:r>
              <w:rPr>
                <w:color w:val="000000"/>
                <w:sz w:val="24"/>
                <w:szCs w:val="24"/>
                <w:highlight w:val="none"/>
                <w:u w:val="none"/>
              </w:rPr>
              <w:t>2</w:t>
            </w:r>
            <w:r>
              <w:rPr>
                <w:rFonts w:hAnsi="宋体"/>
                <w:color w:val="000000"/>
                <w:sz w:val="24"/>
                <w:szCs w:val="24"/>
                <w:highlight w:val="none"/>
                <w:u w:val="none"/>
              </w:rPr>
              <w:t>类昼间标准；项目噪声评价范围内环境敏感点（横山村、下白沙村），从等声线图中可以看出，经过距离衰减后，环境敏感目标处噪声贡献值可忽略不计，昼间噪声贡献值均符合《工业企业厂界环境噪声排放标准》（</w:t>
            </w:r>
            <w:r>
              <w:rPr>
                <w:color w:val="000000"/>
                <w:sz w:val="24"/>
                <w:szCs w:val="24"/>
                <w:highlight w:val="none"/>
                <w:u w:val="none"/>
              </w:rPr>
              <w:t>GB12348-2008</w:t>
            </w:r>
            <w:r>
              <w:rPr>
                <w:rFonts w:hAnsi="宋体"/>
                <w:color w:val="000000"/>
                <w:sz w:val="24"/>
                <w:szCs w:val="24"/>
                <w:highlight w:val="none"/>
                <w:u w:val="none"/>
              </w:rPr>
              <w:t>）</w:t>
            </w:r>
            <w:r>
              <w:rPr>
                <w:color w:val="000000"/>
                <w:sz w:val="24"/>
                <w:szCs w:val="24"/>
                <w:highlight w:val="none"/>
                <w:u w:val="none"/>
              </w:rPr>
              <w:t>2</w:t>
            </w:r>
            <w:r>
              <w:rPr>
                <w:rFonts w:hAnsi="宋体"/>
                <w:color w:val="000000"/>
                <w:sz w:val="24"/>
                <w:szCs w:val="24"/>
                <w:highlight w:val="none"/>
                <w:u w:val="none"/>
              </w:rPr>
              <w:t>类标准。综上所述，项目噪声源对周边环境影响较小。</w:t>
            </w:r>
          </w:p>
          <w:p w14:paraId="589B5C7B">
            <w:pPr>
              <w:pStyle w:val="21"/>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360" w:lineRule="auto"/>
              <w:ind w:leftChars="200" w:right="0" w:rightChars="0"/>
              <w:jc w:val="left"/>
              <w:textAlignment w:val="auto"/>
              <w:rPr>
                <w:sz w:val="24"/>
                <w:szCs w:val="24"/>
                <w:highlight w:val="none"/>
              </w:rPr>
            </w:pPr>
            <w:r>
              <w:rPr>
                <w:rFonts w:hint="eastAsia"/>
                <w:sz w:val="24"/>
                <w:szCs w:val="24"/>
                <w:highlight w:val="none"/>
                <w:lang w:eastAsia="zh-CN"/>
              </w:rPr>
              <w:t>（</w:t>
            </w:r>
            <w:r>
              <w:rPr>
                <w:rFonts w:hint="eastAsia"/>
                <w:sz w:val="24"/>
                <w:szCs w:val="24"/>
                <w:highlight w:val="none"/>
                <w:lang w:val="en-US" w:eastAsia="zh-CN"/>
              </w:rPr>
              <w:t>4</w:t>
            </w:r>
            <w:r>
              <w:rPr>
                <w:rFonts w:hint="eastAsia"/>
                <w:sz w:val="24"/>
                <w:szCs w:val="24"/>
                <w:highlight w:val="none"/>
                <w:lang w:eastAsia="zh-CN"/>
              </w:rPr>
              <w:t>）</w:t>
            </w:r>
            <w:r>
              <w:rPr>
                <w:sz w:val="24"/>
                <w:szCs w:val="24"/>
                <w:highlight w:val="none"/>
              </w:rPr>
              <w:t>固体废物</w:t>
            </w:r>
          </w:p>
          <w:p w14:paraId="3C90B7BC">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textAlignment w:val="auto"/>
              <w:rPr>
                <w:sz w:val="24"/>
                <w:szCs w:val="24"/>
                <w:highlight w:val="none"/>
              </w:rPr>
            </w:pPr>
            <w:r>
              <w:rPr>
                <w:rFonts w:hAnsi="宋体"/>
                <w:sz w:val="24"/>
                <w:szCs w:val="24"/>
                <w:highlight w:val="none"/>
              </w:rPr>
              <w:t>项目光伏系统使用寿命</w:t>
            </w:r>
            <w:r>
              <w:rPr>
                <w:sz w:val="24"/>
                <w:szCs w:val="24"/>
                <w:highlight w:val="none"/>
              </w:rPr>
              <w:t>25</w:t>
            </w:r>
            <w:r>
              <w:rPr>
                <w:rFonts w:hAnsi="宋体"/>
                <w:sz w:val="24"/>
                <w:szCs w:val="24"/>
                <w:highlight w:val="none"/>
              </w:rPr>
              <w:t>年，其中组件寿命</w:t>
            </w:r>
            <w:r>
              <w:rPr>
                <w:sz w:val="24"/>
                <w:szCs w:val="24"/>
                <w:highlight w:val="none"/>
              </w:rPr>
              <w:t>25</w:t>
            </w:r>
            <w:r>
              <w:rPr>
                <w:rFonts w:hAnsi="宋体"/>
                <w:sz w:val="24"/>
                <w:szCs w:val="24"/>
                <w:highlight w:val="none"/>
              </w:rPr>
              <w:t>年，逆变器寿命</w:t>
            </w:r>
            <w:r>
              <w:rPr>
                <w:sz w:val="24"/>
                <w:szCs w:val="24"/>
                <w:highlight w:val="none"/>
              </w:rPr>
              <w:t>25</w:t>
            </w:r>
            <w:r>
              <w:rPr>
                <w:rFonts w:hAnsi="宋体"/>
                <w:sz w:val="24"/>
                <w:szCs w:val="24"/>
                <w:highlight w:val="none"/>
              </w:rPr>
              <w:t>年，电缆使用寿命大于</w:t>
            </w:r>
            <w:r>
              <w:rPr>
                <w:sz w:val="24"/>
                <w:szCs w:val="24"/>
                <w:highlight w:val="none"/>
              </w:rPr>
              <w:t>20</w:t>
            </w:r>
            <w:r>
              <w:rPr>
                <w:rFonts w:hAnsi="宋体"/>
                <w:sz w:val="24"/>
                <w:szCs w:val="24"/>
                <w:highlight w:val="none"/>
              </w:rPr>
              <w:t>年，除人为破坏外基本无损坏，为保障太阳能发电站的稳定性，设备厂家对其进行定期检测，对于损坏更换的电池组件以及光伏电池组件使用寿命到期后更换下来的电池组件，根据《国家危险废物名录》（</w:t>
            </w:r>
            <w:r>
              <w:rPr>
                <w:sz w:val="24"/>
                <w:szCs w:val="24"/>
                <w:highlight w:val="none"/>
              </w:rPr>
              <w:t>2021</w:t>
            </w:r>
            <w:r>
              <w:rPr>
                <w:rFonts w:hAnsi="宋体"/>
                <w:sz w:val="24"/>
                <w:szCs w:val="24"/>
                <w:highlight w:val="none"/>
              </w:rPr>
              <w:t>年版），拟建项目所用晶硅电池组件不属于危险废物，厂区内部均不设置临时储存点，直接由设备厂家回收。</w:t>
            </w:r>
          </w:p>
          <w:p w14:paraId="4AB20EF7">
            <w:pPr>
              <w:pStyle w:val="21"/>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360" w:lineRule="auto"/>
              <w:ind w:leftChars="200" w:right="0" w:rightChars="0"/>
              <w:jc w:val="left"/>
              <w:textAlignment w:val="auto"/>
              <w:rPr>
                <w:sz w:val="24"/>
                <w:szCs w:val="24"/>
                <w:highlight w:val="none"/>
              </w:rPr>
            </w:pPr>
            <w:r>
              <w:rPr>
                <w:rFonts w:hint="eastAsia"/>
                <w:sz w:val="24"/>
                <w:szCs w:val="24"/>
                <w:highlight w:val="none"/>
                <w:lang w:eastAsia="zh-CN"/>
              </w:rPr>
              <w:t>（</w:t>
            </w:r>
            <w:r>
              <w:rPr>
                <w:rFonts w:hint="eastAsia"/>
                <w:sz w:val="24"/>
                <w:szCs w:val="24"/>
                <w:highlight w:val="none"/>
                <w:lang w:val="en-US" w:eastAsia="zh-CN"/>
              </w:rPr>
              <w:t>5</w:t>
            </w:r>
            <w:r>
              <w:rPr>
                <w:rFonts w:hint="eastAsia"/>
                <w:sz w:val="24"/>
                <w:szCs w:val="24"/>
                <w:highlight w:val="none"/>
                <w:lang w:eastAsia="zh-CN"/>
              </w:rPr>
              <w:t>）</w:t>
            </w:r>
            <w:r>
              <w:rPr>
                <w:sz w:val="24"/>
                <w:szCs w:val="24"/>
                <w:highlight w:val="none"/>
              </w:rPr>
              <w:t>生态影响</w:t>
            </w:r>
          </w:p>
          <w:p w14:paraId="5F0FB316">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textAlignment w:val="auto"/>
              <w:rPr>
                <w:sz w:val="24"/>
                <w:szCs w:val="24"/>
                <w:highlight w:val="none"/>
              </w:rPr>
            </w:pPr>
            <w:r>
              <w:rPr>
                <w:rFonts w:hAnsi="宋体"/>
                <w:bCs/>
                <w:sz w:val="24"/>
                <w:szCs w:val="24"/>
                <w:highlight w:val="none"/>
              </w:rPr>
              <w:t>项目</w:t>
            </w:r>
            <w:r>
              <w:rPr>
                <w:rFonts w:hAnsi="宋体"/>
                <w:snapToGrid w:val="0"/>
                <w:sz w:val="24"/>
                <w:szCs w:val="24"/>
                <w:highlight w:val="none"/>
              </w:rPr>
              <w:t>场地的建设和场地的平整，将破坏一定面积的地表植被，从而使地表的表层土壤受到扰动。</w:t>
            </w:r>
            <w:r>
              <w:rPr>
                <w:rFonts w:hAnsi="宋体"/>
                <w:bCs/>
                <w:sz w:val="24"/>
                <w:szCs w:val="24"/>
                <w:highlight w:val="none"/>
              </w:rPr>
              <w:t>同时，野生动物生境被破坏，尤其是两栖和爬行类的栖息地将被破坏，此外</w:t>
            </w:r>
            <w:r>
              <w:rPr>
                <w:rFonts w:hAnsi="宋体"/>
                <w:sz w:val="24"/>
                <w:szCs w:val="24"/>
                <w:highlight w:val="none"/>
              </w:rPr>
              <w:t>运行期由于人为影响加大，周边环境人为改造较大，与此同时人类活动范围及频繁度增大，施工区爬行动物栖息适宜度降低。受影响的主要为两栖爬行类动物如蛙、蟾蜍等的数量将有所减少。</w:t>
            </w:r>
            <w:r>
              <w:rPr>
                <w:rFonts w:hAnsi="宋体"/>
                <w:bCs/>
                <w:sz w:val="24"/>
                <w:szCs w:val="24"/>
                <w:highlight w:val="none"/>
              </w:rPr>
              <w:t>野生鸟类在施工期因人为活动频繁将减少活动于施工区内。施工准备期由于场地平整，降低了原有的土壤抗侵蚀能力，当遇上较大降雨天气时，可能造成不同程度的水土流失；建设期场区内裸露土地，尤其是光伏电站区、道路区和可形成一定量的水土流失；建设期是预测的重点时段，施工期场内裸露地段、光伏电站基础区、施工道路区、升压站区是重点防治区。光伏电站在建设施工和生产运行期间都将加大项目区水土流失，短期内可使项目建设区水土流失量明显增加。本项目建成投运后，扰动区域被建筑物覆盖或绿化等措施所保护，水土流失量降低，随着植被的逐渐恢复与植被覆盖度的提高，根系固土保水能力增强，水土流失量逐渐减少。根据本项目特点，对当地水土流失的影响主要为建设施工期，损坏或压埋原有地貌及植被，形成裸露地面，降低了原有植被的固土防风、抗蚀能力，加剧了水土流失。因此，除采取必要的临时防护措施外，施工结束后以植被防治措施为主，选择适宜的草、树种，构成行之有效的防治体系，遏制新增水土流失的发生。</w:t>
            </w:r>
          </w:p>
          <w:p w14:paraId="5C33D145">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textAlignment w:val="auto"/>
              <w:rPr>
                <w:rFonts w:hint="eastAsia" w:hAnsi="宋体"/>
                <w:sz w:val="24"/>
                <w:szCs w:val="24"/>
                <w:highlight w:val="none"/>
              </w:rPr>
            </w:pPr>
            <w:r>
              <w:rPr>
                <w:rFonts w:hAnsi="宋体"/>
                <w:sz w:val="24"/>
                <w:szCs w:val="24"/>
                <w:highlight w:val="none"/>
              </w:rPr>
              <w:t>施工过程中，光伏组件安装采用机械打桩及静压桩方法进行施工，由于修筑施工便道、打桩等需要排干洼地积水，原有鱼塘水环境受到一定的影响，由于施工周期较短，随着施工期的结束，光伏组件下水塘自然放养原有鱼种，控制养鱼数量，定期捕捞，保护项目区域的水域生态环境，总体上看，对鱼塘影响较小。</w:t>
            </w:r>
          </w:p>
          <w:p w14:paraId="43DEA85E">
            <w:pPr>
              <w:pStyle w:val="21"/>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360" w:lineRule="auto"/>
              <w:ind w:leftChars="200" w:right="0" w:rightChars="0"/>
              <w:jc w:val="left"/>
              <w:textAlignment w:val="auto"/>
              <w:rPr>
                <w:sz w:val="24"/>
                <w:szCs w:val="24"/>
                <w:highlight w:val="none"/>
              </w:rPr>
            </w:pPr>
            <w:r>
              <w:rPr>
                <w:rFonts w:hint="eastAsia"/>
                <w:sz w:val="24"/>
                <w:szCs w:val="24"/>
                <w:highlight w:val="none"/>
                <w:lang w:eastAsia="zh-CN"/>
              </w:rPr>
              <w:t>（</w:t>
            </w:r>
            <w:r>
              <w:rPr>
                <w:rFonts w:hint="eastAsia"/>
                <w:sz w:val="24"/>
                <w:szCs w:val="24"/>
                <w:highlight w:val="none"/>
                <w:lang w:val="en-US" w:eastAsia="zh-CN"/>
              </w:rPr>
              <w:t>6</w:t>
            </w:r>
            <w:r>
              <w:rPr>
                <w:rFonts w:hint="eastAsia"/>
                <w:sz w:val="24"/>
                <w:szCs w:val="24"/>
                <w:highlight w:val="none"/>
                <w:lang w:eastAsia="zh-CN"/>
              </w:rPr>
              <w:t>）</w:t>
            </w:r>
            <w:r>
              <w:rPr>
                <w:sz w:val="24"/>
                <w:szCs w:val="24"/>
                <w:highlight w:val="none"/>
              </w:rPr>
              <w:t>光污染</w:t>
            </w:r>
          </w:p>
          <w:p w14:paraId="0543B371">
            <w:pPr>
              <w:pStyle w:val="21"/>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sz w:val="24"/>
                <w:szCs w:val="24"/>
                <w:highlight w:val="none"/>
              </w:rPr>
            </w:pPr>
            <w:r>
              <w:rPr>
                <w:rFonts w:hAnsi="宋体"/>
                <w:sz w:val="24"/>
                <w:szCs w:val="24"/>
                <w:highlight w:val="none"/>
              </w:rPr>
              <w:t>本项目由于倾斜角度小，反射面朝南，反射面反射的光绝大部分朝向天空，反射光的主要影响时间集中在日出、日落前后的</w:t>
            </w:r>
            <w:r>
              <w:rPr>
                <w:sz w:val="24"/>
                <w:szCs w:val="24"/>
                <w:highlight w:val="none"/>
              </w:rPr>
              <w:t>1~2</w:t>
            </w:r>
            <w:r>
              <w:rPr>
                <w:rFonts w:hAnsi="宋体"/>
                <w:sz w:val="24"/>
                <w:szCs w:val="24"/>
                <w:highlight w:val="none"/>
              </w:rPr>
              <w:t>小时左右，早上和傍晚的太阳高度角较小，会有部分反射光射向南侧，会对三期厂区南面的敏感点产生一定的影响和干扰。由于日出和日落时分的太阳光较弱，且敏感点距离较远，因此对敏感点（下白沙村）的影响不大。</w:t>
            </w:r>
          </w:p>
          <w:p w14:paraId="644614C0">
            <w:pPr>
              <w:pStyle w:val="21"/>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360" w:lineRule="auto"/>
              <w:ind w:leftChars="200" w:right="0" w:rightChars="0"/>
              <w:jc w:val="left"/>
              <w:textAlignment w:val="auto"/>
              <w:rPr>
                <w:sz w:val="24"/>
                <w:szCs w:val="24"/>
                <w:highlight w:val="none"/>
              </w:rPr>
            </w:pPr>
            <w:r>
              <w:rPr>
                <w:rFonts w:hint="eastAsia"/>
                <w:sz w:val="24"/>
                <w:szCs w:val="24"/>
                <w:highlight w:val="none"/>
                <w:lang w:eastAsia="zh-CN"/>
              </w:rPr>
              <w:t>（</w:t>
            </w:r>
            <w:r>
              <w:rPr>
                <w:rFonts w:hint="eastAsia"/>
                <w:sz w:val="24"/>
                <w:szCs w:val="24"/>
                <w:highlight w:val="none"/>
                <w:lang w:val="en-US" w:eastAsia="zh-CN"/>
              </w:rPr>
              <w:t>7</w:t>
            </w:r>
            <w:r>
              <w:rPr>
                <w:rFonts w:hint="eastAsia"/>
                <w:sz w:val="24"/>
                <w:szCs w:val="24"/>
                <w:highlight w:val="none"/>
                <w:lang w:eastAsia="zh-CN"/>
              </w:rPr>
              <w:t>）</w:t>
            </w:r>
            <w:r>
              <w:rPr>
                <w:sz w:val="24"/>
                <w:szCs w:val="24"/>
                <w:highlight w:val="none"/>
              </w:rPr>
              <w:t>电磁辐射及其他影响</w:t>
            </w:r>
          </w:p>
          <w:p w14:paraId="7B51316E">
            <w:pPr>
              <w:pStyle w:val="21"/>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sz w:val="24"/>
                <w:szCs w:val="24"/>
                <w:highlight w:val="none"/>
              </w:rPr>
            </w:pPr>
            <w:r>
              <w:rPr>
                <w:rFonts w:hint="eastAsia" w:hAnsi="宋体"/>
                <w:sz w:val="24"/>
                <w:szCs w:val="24"/>
                <w:highlight w:val="none"/>
              </w:rPr>
              <w:t>根据《电磁辐射防护规定》（GB8702-2014），100kV以下电压等级的交流输变电设施属于电磁辐射体豁免管理范畴，本项目光伏组件以及35KV的变配电设备属于可豁免的电磁辐射体的等效辐射功率，属电磁环境管理豁免范畴。</w:t>
            </w:r>
          </w:p>
          <w:p w14:paraId="5DBDF136">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highlight w:val="none"/>
              </w:rPr>
            </w:pPr>
            <w:r>
              <w:rPr>
                <w:rFonts w:hint="eastAsia" w:ascii="Times New Roman"/>
                <w:highlight w:val="none"/>
                <w:lang w:val="en-US" w:eastAsia="zh-CN"/>
              </w:rPr>
              <w:t>4</w:t>
            </w:r>
            <w:r>
              <w:rPr>
                <w:highlight w:val="none"/>
              </w:rPr>
              <w:t>、项目可行性结论</w:t>
            </w:r>
          </w:p>
          <w:p w14:paraId="291F482D">
            <w:pPr>
              <w:spacing w:line="360" w:lineRule="auto"/>
              <w:ind w:firstLine="480" w:firstLineChars="200"/>
              <w:rPr>
                <w:rFonts w:ascii="宋体" w:hAnsi="宋体" w:eastAsia="宋体" w:cs="宋体"/>
                <w:bCs/>
                <w:sz w:val="24"/>
                <w:szCs w:val="24"/>
                <w:highlight w:val="none"/>
              </w:rPr>
            </w:pPr>
            <w:r>
              <w:rPr>
                <w:rFonts w:ascii="宋体" w:hAnsi="宋体" w:eastAsia="宋体" w:cs="宋体"/>
                <w:bCs/>
                <w:sz w:val="24"/>
                <w:szCs w:val="24"/>
                <w:highlight w:val="none"/>
              </w:rPr>
              <w:t>综上所述，台山市鑫昊新能源有限公司拟在广东省</w:t>
            </w:r>
            <w:r>
              <w:rPr>
                <w:rFonts w:hint="eastAsia" w:ascii="宋体" w:hAnsi="宋体" w:eastAsia="宋体" w:cs="宋体"/>
                <w:bCs/>
                <w:sz w:val="24"/>
                <w:szCs w:val="24"/>
                <w:highlight w:val="none"/>
              </w:rPr>
              <w:t>江门市</w:t>
            </w:r>
            <w:r>
              <w:rPr>
                <w:rFonts w:ascii="宋体" w:hAnsi="宋体" w:eastAsia="宋体" w:cs="宋体"/>
                <w:bCs/>
                <w:sz w:val="24"/>
                <w:szCs w:val="24"/>
                <w:highlight w:val="none"/>
              </w:rPr>
              <w:t>台山市汶村镇投资61290万元建设“台山鑫昊150MW渔光互补光伏发电项目”，项目建设内容主要包括装机容量为150MWp的光伏发电项目，项目年均发电量约为17351.58万千瓦时，项目的建设符合江门市相关要求。本光伏电站项目的建设，符合我国21世纪可持续发展能源战略规划，也是发展循环经济模式，建设和谐社会的具体体现。对于促进节能减排、打造低碳城市将产生积极的推动作用，同时对推进太阳能利用及光伏发电产业的发展进程具有非常大的意义，预期有着显著的社会效益，无不利的社会影响。</w:t>
            </w:r>
          </w:p>
          <w:p w14:paraId="73F2CBD7">
            <w:pPr>
              <w:spacing w:line="360" w:lineRule="auto"/>
              <w:ind w:firstLine="480" w:firstLineChars="200"/>
              <w:rPr>
                <w:rFonts w:ascii="宋体" w:hAnsi="宋体" w:eastAsia="宋体" w:cs="宋体"/>
                <w:bCs/>
                <w:sz w:val="24"/>
                <w:szCs w:val="24"/>
                <w:highlight w:val="none"/>
              </w:rPr>
            </w:pPr>
            <w:r>
              <w:rPr>
                <w:rFonts w:ascii="宋体" w:hAnsi="宋体" w:eastAsia="宋体" w:cs="宋体"/>
                <w:bCs/>
                <w:sz w:val="24"/>
                <w:szCs w:val="24"/>
                <w:highlight w:val="none"/>
              </w:rPr>
              <w:t>项目施工期和运营期存在一定的污染因素，主要为施工噪声、扬尘以及营运期交通噪声和汽车尾气，会对道路附近的居民带来一定的影响。本评价按照相关技术导则对项目评价范围内的环境质量进行现状监测、调查与评价，对项目的污染排放情况进行了分析，结合工程技术资料和实际监测成果，预测项目建设对周围环境产生的污染影响，并提出相应的污染防治措施和对策。建设单位必须严格遵守“三同时：管理规定，严格落实本报告提出的各项环保措施。</w:t>
            </w:r>
          </w:p>
          <w:p w14:paraId="7BEB726B">
            <w:pPr>
              <w:spacing w:line="360" w:lineRule="auto"/>
              <w:ind w:firstLine="480" w:firstLineChars="200"/>
              <w:rPr>
                <w:highlight w:val="none"/>
                <w:vertAlign w:val="baseline"/>
              </w:rPr>
            </w:pPr>
            <w:r>
              <w:rPr>
                <w:rFonts w:ascii="宋体" w:hAnsi="宋体" w:eastAsia="宋体" w:cs="宋体"/>
                <w:bCs/>
                <w:sz w:val="24"/>
                <w:szCs w:val="24"/>
                <w:highlight w:val="none"/>
              </w:rPr>
              <w:t>本项目建设和投入使用后，产生的污染经本报告提出的各种环保治理措施处理后，可降低对周边居民及环境的影响。从环境保护的角度而言，本项目的建设是可行的。</w:t>
            </w:r>
          </w:p>
        </w:tc>
      </w:tr>
      <w:tr w14:paraId="07C2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6" w:type="dxa"/>
          </w:tcPr>
          <w:p w14:paraId="51D3525C">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rPr>
                <w:highlight w:val="none"/>
              </w:rPr>
            </w:pPr>
            <w:r>
              <w:rPr>
                <w:highlight w:val="none"/>
              </w:rPr>
              <w:t>各级环境保护行政主管部门的审批意见（国家、省、行业）：</w:t>
            </w:r>
          </w:p>
          <w:p w14:paraId="61EA258B">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rPr>
                <w:highlight w:val="none"/>
              </w:rPr>
            </w:pPr>
            <w:r>
              <w:rPr>
                <w:rFonts w:ascii="Times New Roman" w:eastAsia="Times New Roman"/>
                <w:highlight w:val="none"/>
              </w:rPr>
              <w:t>1</w:t>
            </w:r>
            <w:r>
              <w:rPr>
                <w:highlight w:val="none"/>
              </w:rPr>
              <w:t>、审批意见</w:t>
            </w:r>
          </w:p>
          <w:p w14:paraId="2601FE2D">
            <w:pPr>
              <w:pStyle w:val="21"/>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江门市生态环境局台山分局台山鑫昊150MW渔光互补光伏发电项目环境影响报告表的批复（</w:t>
            </w:r>
            <w:r>
              <w:rPr>
                <w:rFonts w:hint="eastAsia"/>
                <w:sz w:val="24"/>
                <w:highlight w:val="none"/>
                <w:lang w:eastAsia="zh-CN"/>
              </w:rPr>
              <w:t>江台环审﹝2021﹞21号</w:t>
            </w:r>
            <w:r>
              <w:rPr>
                <w:rFonts w:hint="eastAsia" w:ascii="宋体" w:hAnsi="宋体" w:eastAsia="宋体" w:cs="宋体"/>
                <w:sz w:val="24"/>
                <w:szCs w:val="24"/>
                <w:highlight w:val="none"/>
                <w:lang w:eastAsia="zh-CN"/>
              </w:rPr>
              <w:t>）：</w:t>
            </w:r>
          </w:p>
          <w:p w14:paraId="61E8B80C">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一、台山鑫昊150MW渔光互补光伏发电项目选址广东省台山市汶村镇，总占地面积约156.75万m</w:t>
            </w:r>
            <w:r>
              <w:rPr>
                <w:rFonts w:hint="eastAsia" w:ascii="宋体" w:hAnsi="宋体" w:eastAsia="宋体" w:cs="宋体"/>
                <w:bCs/>
                <w:sz w:val="24"/>
                <w:szCs w:val="24"/>
                <w:highlight w:val="none"/>
                <w:vertAlign w:val="superscript"/>
                <w:lang w:val="en-US" w:eastAsia="zh-CN"/>
              </w:rPr>
              <w:t>2</w:t>
            </w:r>
            <w:r>
              <w:rPr>
                <w:rFonts w:hint="eastAsia" w:ascii="宋体" w:hAnsi="宋体" w:eastAsia="宋体" w:cs="宋体"/>
                <w:bCs/>
                <w:sz w:val="24"/>
                <w:szCs w:val="24"/>
                <w:highlight w:val="none"/>
              </w:rPr>
              <w:t>。项目主要采用水产养殖和太阳能产业结合的生产方式，在池塘水体中开展水产养殖生产的同时，于水面上架设光伏组件，开发太阳能发电，实现水面发电、水下养鱼的目标。项目总装机容量为150MWp，采用535Wp的单晶硅组件，共计281736块</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电站共计39个光伏发电单元，合计39台3125kW的逆变升压装置，升压至35kV后以4组集电线路外送，年均发电量17351.58万千瓦时。光伏厂区内无升压站，外送线路以4回35kV架空线路接至220kV通威及鑫昊光伏升压站，项目所连接220kV通威及鑫吴光伏升压站的架空线以及220kV通威及鑫吴光优升压站不属于本项目评价内容。项目租用光伏区覆盖的鱼塘，在鱼塘上方架设光伏板，待光伏组件正式投入使用后，鱼塘再转租他人经营，鱼塘的建设及养殖情况不属于本项目评价内容。</w:t>
            </w:r>
          </w:p>
          <w:p w14:paraId="2F0D1943">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二、根据《报告表》的评价结论，项目应落实其提出的污染防治措施，确保污染物稳定达标排放，并重点做好以下工作:</w:t>
            </w:r>
          </w:p>
          <w:p w14:paraId="6157CC29">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施工期:</w:t>
            </w:r>
          </w:p>
          <w:p w14:paraId="5409A52C">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1、项目施工期产生的废水主要为施工废水、员工生活污水。其中施工废水经施工场地临时沉淀池处理后用于要水抑尘，不外排</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生活污水经采用移动式厕所收集后运至城镇污水厂纳污范围内的公共卫生间排放。项目施工应尽量减少开挖面积，避免雨季作业，采取防雨措施，防止水土流失，注重沿海滩涂生态保护，对污水进行导流沉淀，防止施工泥沙污染农田和水体。</w:t>
            </w:r>
          </w:p>
          <w:p w14:paraId="255638C2">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项目施工期产生的大气污染物主要为混凝土搅拌粉尘施工扬尘、机械废气。其中施工期扬尘经采取物料遮盖、道路酒水、车辆限速行驶等措施后无组织排放，执行《大气污染物综合排放标准》(GB16297-1996)中表2标准要求</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机械度气经采取使用合格燃料等措施无组织排放，执行《大气污染物综合排放标准》(GB16297-1996)中表2标准要求。加强对设施的管理和维护，禁止大风天气施工，减少对周围环境污染影响。3、选用低噪声运输施工设备，采取有效的消声、降噪措施，严格控制施工时间，防止施工噪声对环境造成影响，施工期边界噪声应符合《建筑施工场界环境噪声排放标准》(GB12523-2011)要求。</w:t>
            </w:r>
          </w:p>
          <w:p w14:paraId="4998DF99">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4、项目施工过程中产生的废弃建筑材料、挖方产生的淤泥，不得随便堆放或倒入水体，应采取防雨等有效的措施进行处置，开挖的土方应回填，在场区内暂存的一般固体废物，应合理设置堆放场所，妥善贮存。</w:t>
            </w:r>
          </w:p>
          <w:p w14:paraId="50771D54">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营运期:</w:t>
            </w:r>
          </w:p>
          <w:p w14:paraId="31ADDC10">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1、营运期产生的废水主要为太阳能电池板清洗废水、员工生活污水。其中太阳能电池板清洗废水直接排入光伏区下方的鱼塘，不外排</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员工生活污水经站内污水处理设施处理符合《城市污水再生利用城市杂用水水质》(GB/T18920-2012)标准要求后回用于站内绿化，不外排。</w:t>
            </w:r>
          </w:p>
          <w:p w14:paraId="12D0E6E7">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2、落实有效的大气污染防治措施，并加强对设施的管理和维护。项目产生的废气主要有食堂油烟，经处理符合《饮食业油烟排放标准(试行)》(GB18483-2001)限值要求后由烟道引至综合楼楼顶高空排放。</w:t>
            </w:r>
          </w:p>
          <w:p w14:paraId="364CBABD">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采用低噪声设备和采取有效的隔声降噪措施。项目产生的噪声主要来源于逆变器、变压器、升压站变压器等设备噪声，经采用合理布置厂区，对高噪声设备隔声、减振、消音等处理措施后，符合《工业企业厂界环境噪声排放标准》(GB12348-2008)2类限值要求。</w:t>
            </w:r>
          </w:p>
          <w:p w14:paraId="39C8C150">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加强固体废物管理。属于危险废物的必须交由有资质的单位进行处理处置，并严格执行危险废物转移联单制度。厂区内的危险废物和一般工业固体废物临时性贮存设施应符合国家《危险废物贮存污染控制标准》(GB18597-2001)和《般工业固体废物贮存、处置场污染控制标准》(GB18599-2001)的规定。生活垃圾收集后统一交由环卫部门处理。</w:t>
            </w:r>
          </w:p>
          <w:p w14:paraId="0A76B5DD">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三、落实施工期水土保持和生态保护、恢复措施。</w:t>
            </w:r>
          </w:p>
          <w:p w14:paraId="703101CC">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四、</w:t>
            </w:r>
            <w:bookmarkStart w:id="4" w:name="OLE_LINK3"/>
            <w:r>
              <w:rPr>
                <w:rFonts w:hint="eastAsia" w:ascii="宋体" w:hAnsi="宋体" w:eastAsia="宋体" w:cs="宋体"/>
                <w:bCs/>
                <w:sz w:val="24"/>
                <w:szCs w:val="24"/>
                <w:highlight w:val="none"/>
              </w:rPr>
              <w:t>项目建设应严格执行配套建设的环境保护设施与主体工程同时设计、同时施工、同时投产使用的“三同时”制度。项目建成后，按规定进行竣工环保验收，验收合格后，主体工程方可正式投入使用</w:t>
            </w:r>
            <w:bookmarkEnd w:id="4"/>
            <w:r>
              <w:rPr>
                <w:rFonts w:hint="eastAsia" w:ascii="宋体" w:hAnsi="宋体" w:eastAsia="宋体" w:cs="宋体"/>
                <w:bCs/>
                <w:sz w:val="24"/>
                <w:szCs w:val="24"/>
                <w:highlight w:val="none"/>
              </w:rPr>
              <w:t>。</w:t>
            </w:r>
          </w:p>
          <w:p w14:paraId="277919E3">
            <w:pPr>
              <w:pStyle w:val="22"/>
              <w:spacing w:before="31"/>
              <w:ind w:left="107"/>
              <w:rPr>
                <w:b/>
                <w:sz w:val="24"/>
                <w:highlight w:val="none"/>
              </w:rPr>
            </w:pPr>
            <w:r>
              <w:rPr>
                <w:rFonts w:ascii="Times New Roman" w:eastAsia="Times New Roman"/>
                <w:b/>
                <w:sz w:val="24"/>
                <w:highlight w:val="none"/>
              </w:rPr>
              <w:t>2</w:t>
            </w:r>
            <w:r>
              <w:rPr>
                <w:b/>
                <w:sz w:val="24"/>
                <w:highlight w:val="none"/>
              </w:rPr>
              <w:t>、环评批复要求落实情况</w:t>
            </w:r>
          </w:p>
          <w:p w14:paraId="59074680">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sz w:val="24"/>
                <w:highlight w:val="none"/>
              </w:rPr>
            </w:pPr>
            <w:r>
              <w:rPr>
                <w:sz w:val="24"/>
                <w:highlight w:val="none"/>
              </w:rPr>
              <w:t>环评批复要求落实情况详见表</w:t>
            </w:r>
            <w:r>
              <w:rPr>
                <w:rFonts w:ascii="Times New Roman" w:eastAsia="Times New Roman"/>
                <w:sz w:val="24"/>
                <w:highlight w:val="none"/>
              </w:rPr>
              <w:t>5-1</w:t>
            </w:r>
            <w:r>
              <w:rPr>
                <w:sz w:val="24"/>
                <w:highlight w:val="none"/>
              </w:rPr>
              <w:t>。</w:t>
            </w:r>
          </w:p>
          <w:p w14:paraId="1AC3F7CF">
            <w:pPr>
              <w:spacing w:line="360" w:lineRule="auto"/>
              <w:ind w:firstLine="482" w:firstLineChars="200"/>
              <w:jc w:val="center"/>
              <w:rPr>
                <w:b/>
                <w:sz w:val="24"/>
                <w:highlight w:val="none"/>
              </w:rPr>
            </w:pPr>
            <w:r>
              <w:rPr>
                <w:b/>
                <w:sz w:val="24"/>
                <w:highlight w:val="none"/>
              </w:rPr>
              <w:t>表</w:t>
            </w:r>
            <w:r>
              <w:rPr>
                <w:rFonts w:ascii="Times New Roman" w:eastAsia="Times New Roman"/>
                <w:b/>
                <w:sz w:val="24"/>
                <w:highlight w:val="none"/>
              </w:rPr>
              <w:t>5-1</w:t>
            </w:r>
            <w:r>
              <w:rPr>
                <w:rFonts w:hint="eastAsia" w:ascii="Times New Roman"/>
                <w:b/>
                <w:sz w:val="24"/>
                <w:highlight w:val="none"/>
                <w:lang w:val="en-US" w:eastAsia="zh-CN"/>
              </w:rPr>
              <w:t xml:space="preserve">  </w:t>
            </w:r>
            <w:r>
              <w:rPr>
                <w:b/>
                <w:sz w:val="24"/>
                <w:highlight w:val="none"/>
              </w:rPr>
              <w:t>环评批复要求落实情况一览表</w:t>
            </w:r>
          </w:p>
          <w:tbl>
            <w:tblPr>
              <w:tblStyle w:val="10"/>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505"/>
              <w:gridCol w:w="4631"/>
              <w:gridCol w:w="3149"/>
            </w:tblGrid>
            <w:tr w14:paraId="6519BF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505" w:type="dxa"/>
                  <w:tcBorders>
                    <w:right w:val="single" w:color="000000" w:sz="4" w:space="0"/>
                  </w:tcBorders>
                </w:tcPr>
                <w:p w14:paraId="51F8E264">
                  <w:pPr>
                    <w:pStyle w:val="22"/>
                    <w:spacing w:before="73"/>
                    <w:ind w:left="31"/>
                    <w:jc w:val="center"/>
                    <w:rPr>
                      <w:sz w:val="21"/>
                      <w:highlight w:val="none"/>
                    </w:rPr>
                  </w:pPr>
                  <w:r>
                    <w:rPr>
                      <w:sz w:val="21"/>
                      <w:highlight w:val="none"/>
                    </w:rPr>
                    <w:t>序号</w:t>
                  </w:r>
                </w:p>
              </w:tc>
              <w:tc>
                <w:tcPr>
                  <w:tcW w:w="4631" w:type="dxa"/>
                  <w:tcBorders>
                    <w:left w:val="single" w:color="000000" w:sz="4" w:space="0"/>
                    <w:right w:val="single" w:color="000000" w:sz="4" w:space="0"/>
                  </w:tcBorders>
                </w:tcPr>
                <w:p w14:paraId="4D7EB50C">
                  <w:pPr>
                    <w:pStyle w:val="22"/>
                    <w:spacing w:before="73"/>
                    <w:ind w:left="66" w:right="27"/>
                    <w:jc w:val="center"/>
                    <w:rPr>
                      <w:sz w:val="21"/>
                      <w:highlight w:val="none"/>
                    </w:rPr>
                  </w:pPr>
                  <w:r>
                    <w:rPr>
                      <w:sz w:val="21"/>
                      <w:highlight w:val="none"/>
                    </w:rPr>
                    <w:t>审批意见内容</w:t>
                  </w:r>
                </w:p>
              </w:tc>
              <w:tc>
                <w:tcPr>
                  <w:tcW w:w="3149" w:type="dxa"/>
                  <w:tcBorders>
                    <w:left w:val="single" w:color="000000" w:sz="4" w:space="0"/>
                  </w:tcBorders>
                </w:tcPr>
                <w:p w14:paraId="38781135">
                  <w:pPr>
                    <w:pStyle w:val="22"/>
                    <w:spacing w:before="73"/>
                    <w:ind w:left="52" w:right="10"/>
                    <w:jc w:val="center"/>
                    <w:rPr>
                      <w:sz w:val="21"/>
                      <w:highlight w:val="none"/>
                    </w:rPr>
                  </w:pPr>
                  <w:r>
                    <w:rPr>
                      <w:sz w:val="21"/>
                      <w:highlight w:val="none"/>
                    </w:rPr>
                    <w:t>落实情况及变动原因</w:t>
                  </w:r>
                </w:p>
              </w:tc>
            </w:tr>
            <w:tr w14:paraId="30F00D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505" w:type="dxa"/>
                  <w:tcBorders>
                    <w:right w:val="single" w:color="000000" w:sz="4" w:space="0"/>
                  </w:tcBorders>
                </w:tcPr>
                <w:p w14:paraId="449D804E">
                  <w:pPr>
                    <w:pStyle w:val="22"/>
                    <w:spacing w:before="73"/>
                    <w:ind w:left="31"/>
                    <w:jc w:val="center"/>
                    <w:rPr>
                      <w:rFonts w:hint="eastAsia" w:eastAsia="宋体"/>
                      <w:sz w:val="21"/>
                      <w:highlight w:val="none"/>
                      <w:lang w:val="en-US" w:eastAsia="zh-CN"/>
                    </w:rPr>
                  </w:pPr>
                  <w:r>
                    <w:rPr>
                      <w:rFonts w:hint="eastAsia"/>
                      <w:sz w:val="21"/>
                      <w:highlight w:val="none"/>
                      <w:lang w:val="en-US" w:eastAsia="zh-CN"/>
                    </w:rPr>
                    <w:t>1</w:t>
                  </w:r>
                </w:p>
              </w:tc>
              <w:tc>
                <w:tcPr>
                  <w:tcW w:w="4631" w:type="dxa"/>
                  <w:tcBorders>
                    <w:left w:val="single" w:color="000000" w:sz="4" w:space="0"/>
                    <w:right w:val="single" w:color="000000" w:sz="4" w:space="0"/>
                  </w:tcBorders>
                </w:tcPr>
                <w:p w14:paraId="7398FF71">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台山鑫昊150MW渔光互补光伏发电项目选址广东省台山市汶村镇，总占地面积约156.75万m</w:t>
                  </w:r>
                  <w:r>
                    <w:rPr>
                      <w:rFonts w:hint="eastAsia" w:ascii="宋体" w:hAnsi="宋体" w:eastAsia="宋体" w:cs="宋体"/>
                      <w:bCs/>
                      <w:sz w:val="24"/>
                      <w:szCs w:val="24"/>
                      <w:highlight w:val="none"/>
                      <w:vertAlign w:val="superscript"/>
                      <w:lang w:val="en-US" w:eastAsia="zh-CN"/>
                    </w:rPr>
                    <w:t>2</w:t>
                  </w:r>
                  <w:r>
                    <w:rPr>
                      <w:rFonts w:hint="eastAsia" w:ascii="宋体" w:hAnsi="宋体" w:eastAsia="宋体" w:cs="宋体"/>
                      <w:bCs/>
                      <w:sz w:val="24"/>
                      <w:szCs w:val="24"/>
                      <w:highlight w:val="none"/>
                    </w:rPr>
                    <w:t>。项目主要采用水产养殖和太阳能产业结合的生产方式，在池塘水体中开展水产养殖生产的同时，于水面上架设光伏组件，开发太阳能发电，实现水面发电、水下养鱼的目标。项目总装机容量为150MWp，采用535Wp的单晶硅组件，共计281736块</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电站共计39个光伏发电单元，合计39台3125kW的逆变升压装置，升压至35kV后以4组集电线路外送，年均发电量17351.58万千瓦时。光伏厂区内无升压站，外送线路以4回35kV架空线路接至220kV通威及鑫昊光伏升压站，项目所连接220kV通威及鑫吴光伏升压站的架空线以及220kV通威及鑫吴光优升压站不属于本项目评价内容。项目租用光伏区覆盖的鱼塘，在鱼塘上方架设光伏板，待光伏组件正式投入使用后，鱼塘再转租他人经营，鱼塘的建设及养殖情况不属于本项目评价内容。</w:t>
                  </w:r>
                </w:p>
                <w:p w14:paraId="3865DE6C">
                  <w:pPr>
                    <w:pStyle w:val="22"/>
                    <w:spacing w:before="73"/>
                    <w:ind w:left="66" w:right="27"/>
                    <w:jc w:val="center"/>
                    <w:rPr>
                      <w:sz w:val="21"/>
                      <w:highlight w:val="none"/>
                    </w:rPr>
                  </w:pPr>
                </w:p>
              </w:tc>
              <w:tc>
                <w:tcPr>
                  <w:tcW w:w="3149" w:type="dxa"/>
                  <w:tcBorders>
                    <w:left w:val="single" w:color="000000" w:sz="4" w:space="0"/>
                  </w:tcBorders>
                </w:tcPr>
                <w:p w14:paraId="3074BF8A">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台山鑫昊150MW渔光互补光伏发电项目选址广东省台山市汶村镇，总占地面积约</w:t>
                  </w:r>
                  <w:r>
                    <w:rPr>
                      <w:rFonts w:hint="eastAsia" w:cs="宋体"/>
                      <w:bCs/>
                      <w:sz w:val="24"/>
                      <w:szCs w:val="24"/>
                      <w:highlight w:val="none"/>
                      <w:lang w:val="en-US" w:eastAsia="zh-CN"/>
                    </w:rPr>
                    <w:t>1245680</w:t>
                  </w:r>
                  <w:r>
                    <w:rPr>
                      <w:rFonts w:hint="eastAsia" w:ascii="宋体" w:hAnsi="宋体" w:eastAsia="宋体" w:cs="宋体"/>
                      <w:bCs/>
                      <w:sz w:val="24"/>
                      <w:szCs w:val="24"/>
                      <w:highlight w:val="none"/>
                    </w:rPr>
                    <w:t>m</w:t>
                  </w:r>
                  <w:r>
                    <w:rPr>
                      <w:rFonts w:hint="eastAsia" w:ascii="宋体" w:hAnsi="宋体" w:eastAsia="宋体" w:cs="宋体"/>
                      <w:bCs/>
                      <w:sz w:val="24"/>
                      <w:szCs w:val="24"/>
                      <w:highlight w:val="none"/>
                      <w:vertAlign w:val="superscript"/>
                      <w:lang w:val="en-US" w:eastAsia="zh-CN"/>
                    </w:rPr>
                    <w:t>2</w:t>
                  </w:r>
                  <w:r>
                    <w:rPr>
                      <w:rFonts w:hint="eastAsia" w:ascii="宋体" w:hAnsi="宋体" w:eastAsia="宋体" w:cs="宋体"/>
                      <w:bCs/>
                      <w:sz w:val="24"/>
                      <w:szCs w:val="24"/>
                      <w:highlight w:val="none"/>
                    </w:rPr>
                    <w:t>。项目主要采用水产养殖和太阳能产业结合的生产方式，在池塘水体中开展水产养殖生产的同时，于水面上架设光伏组件，开发太阳能发电，实现水面发电、水下养鱼的目标。项目总装机容量为1</w:t>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0MWp，采用535Wp的单晶硅组件，</w:t>
                  </w:r>
                  <w:r>
                    <w:rPr>
                      <w:rFonts w:hint="eastAsia" w:ascii="宋体" w:hAnsi="宋体" w:eastAsia="宋体" w:cs="宋体"/>
                      <w:bCs/>
                      <w:sz w:val="24"/>
                      <w:szCs w:val="24"/>
                      <w:highlight w:val="none"/>
                    </w:rPr>
                    <w:t>共计</w:t>
                  </w:r>
                  <w:r>
                    <w:rPr>
                      <w:rFonts w:hint="eastAsia" w:cs="宋体"/>
                      <w:bCs/>
                      <w:sz w:val="24"/>
                      <w:szCs w:val="24"/>
                      <w:highlight w:val="none"/>
                      <w:lang w:val="en-US" w:eastAsia="zh-CN"/>
                    </w:rPr>
                    <w:t>225389</w:t>
                  </w:r>
                  <w:r>
                    <w:rPr>
                      <w:rFonts w:hint="eastAsia" w:ascii="宋体" w:hAnsi="宋体" w:eastAsia="宋体" w:cs="宋体"/>
                      <w:bCs/>
                      <w:sz w:val="24"/>
                      <w:szCs w:val="24"/>
                      <w:highlight w:val="none"/>
                    </w:rPr>
                    <w:t>块</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电站共计</w:t>
                  </w:r>
                  <w:r>
                    <w:rPr>
                      <w:rFonts w:hint="eastAsia" w:ascii="宋体" w:hAnsi="宋体" w:eastAsia="宋体" w:cs="宋体"/>
                      <w:bCs/>
                      <w:sz w:val="24"/>
                      <w:szCs w:val="24"/>
                      <w:highlight w:val="none"/>
                    </w:rPr>
                    <w:t>3</w:t>
                  </w:r>
                  <w:r>
                    <w:rPr>
                      <w:rFonts w:hint="eastAsia" w:cs="宋体"/>
                      <w:bCs/>
                      <w:sz w:val="24"/>
                      <w:szCs w:val="24"/>
                      <w:highlight w:val="none"/>
                      <w:lang w:val="en-US" w:eastAsia="zh-CN"/>
                    </w:rPr>
                    <w:t>1</w:t>
                  </w:r>
                  <w:r>
                    <w:rPr>
                      <w:rFonts w:hint="eastAsia" w:ascii="宋体" w:hAnsi="宋体" w:eastAsia="宋体" w:cs="宋体"/>
                      <w:bCs/>
                      <w:sz w:val="24"/>
                      <w:szCs w:val="24"/>
                      <w:highlight w:val="none"/>
                    </w:rPr>
                    <w:t>个</w:t>
                  </w:r>
                  <w:r>
                    <w:rPr>
                      <w:rFonts w:hint="eastAsia" w:ascii="宋体" w:hAnsi="宋体" w:eastAsia="宋体" w:cs="宋体"/>
                      <w:bCs/>
                      <w:sz w:val="24"/>
                      <w:szCs w:val="24"/>
                      <w:highlight w:val="none"/>
                    </w:rPr>
                    <w:t>光伏发电单元，合计</w:t>
                  </w:r>
                  <w:r>
                    <w:rPr>
                      <w:rFonts w:hint="eastAsia" w:ascii="宋体" w:hAnsi="宋体" w:eastAsia="宋体" w:cs="宋体"/>
                      <w:bCs/>
                      <w:sz w:val="24"/>
                      <w:szCs w:val="24"/>
                      <w:highlight w:val="none"/>
                    </w:rPr>
                    <w:t>3</w:t>
                  </w:r>
                  <w:r>
                    <w:rPr>
                      <w:rFonts w:hint="eastAsia" w:cs="宋体"/>
                      <w:bCs/>
                      <w:sz w:val="24"/>
                      <w:szCs w:val="24"/>
                      <w:highlight w:val="none"/>
                      <w:lang w:val="en-US" w:eastAsia="zh-CN"/>
                    </w:rPr>
                    <w:t>1</w:t>
                  </w:r>
                  <w:r>
                    <w:rPr>
                      <w:rFonts w:hint="eastAsia" w:ascii="宋体" w:hAnsi="宋体" w:eastAsia="宋体" w:cs="宋体"/>
                      <w:bCs/>
                      <w:sz w:val="24"/>
                      <w:szCs w:val="24"/>
                      <w:highlight w:val="none"/>
                    </w:rPr>
                    <w:t>台3125kW的逆变升压装置，升压至35kV后以4组集电线路外送，年均发电量</w:t>
                  </w:r>
                  <w:r>
                    <w:rPr>
                      <w:rFonts w:hint="eastAsia" w:ascii="宋体" w:hAnsi="宋体" w:eastAsia="宋体" w:cs="宋体"/>
                      <w:bCs/>
                      <w:sz w:val="24"/>
                      <w:szCs w:val="24"/>
                      <w:highlight w:val="none"/>
                    </w:rPr>
                    <w:t>1</w:t>
                  </w:r>
                  <w:r>
                    <w:rPr>
                      <w:rFonts w:hint="eastAsia" w:cs="宋体"/>
                      <w:bCs/>
                      <w:sz w:val="24"/>
                      <w:szCs w:val="24"/>
                      <w:highlight w:val="none"/>
                      <w:lang w:val="en-US" w:eastAsia="zh-CN"/>
                    </w:rPr>
                    <w:t>3881.26</w:t>
                  </w:r>
                  <w:r>
                    <w:rPr>
                      <w:rFonts w:hint="eastAsia" w:ascii="宋体" w:hAnsi="宋体" w:eastAsia="宋体" w:cs="宋体"/>
                      <w:bCs/>
                      <w:sz w:val="24"/>
                      <w:szCs w:val="24"/>
                      <w:highlight w:val="none"/>
                    </w:rPr>
                    <w:t>万</w:t>
                  </w:r>
                  <w:r>
                    <w:rPr>
                      <w:rFonts w:hint="eastAsia" w:ascii="宋体" w:hAnsi="宋体" w:eastAsia="宋体" w:cs="宋体"/>
                      <w:bCs/>
                      <w:sz w:val="24"/>
                      <w:szCs w:val="24"/>
                      <w:highlight w:val="none"/>
                    </w:rPr>
                    <w:t>千瓦时。光伏厂区内无升压站，外送线路以4回35kV架空线路接至220kV通威及鑫昊光伏升压站，项目所连接220kV通威及鑫吴光伏升压站的架空线以及220kV通威及鑫吴光优升压站不属于本项目评价内容。项目租用光伏区覆盖的鱼塘，在鱼塘上方架设光伏板，待光伏组件正式投入使用后，鱼塘再转租他人经营，鱼塘的建设及养殖情况不属于本项目评价内容。</w:t>
                  </w:r>
                </w:p>
                <w:p w14:paraId="08A8C5C7">
                  <w:pPr>
                    <w:pStyle w:val="22"/>
                    <w:spacing w:before="73"/>
                    <w:ind w:left="52" w:right="10"/>
                    <w:jc w:val="center"/>
                    <w:rPr>
                      <w:sz w:val="21"/>
                      <w:highlight w:val="none"/>
                    </w:rPr>
                  </w:pPr>
                </w:p>
              </w:tc>
            </w:tr>
            <w:tr w14:paraId="671499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505" w:type="dxa"/>
                  <w:tcBorders>
                    <w:right w:val="single" w:color="000000" w:sz="4" w:space="0"/>
                  </w:tcBorders>
                </w:tcPr>
                <w:p w14:paraId="561BAA84">
                  <w:pPr>
                    <w:pStyle w:val="22"/>
                    <w:spacing w:before="73"/>
                    <w:ind w:left="31"/>
                    <w:jc w:val="center"/>
                    <w:rPr>
                      <w:rFonts w:hint="eastAsia" w:eastAsia="宋体"/>
                      <w:sz w:val="21"/>
                      <w:highlight w:val="none"/>
                      <w:lang w:val="en-US" w:eastAsia="zh-CN"/>
                    </w:rPr>
                  </w:pPr>
                  <w:r>
                    <w:rPr>
                      <w:rFonts w:hint="eastAsia"/>
                      <w:sz w:val="21"/>
                      <w:highlight w:val="none"/>
                      <w:lang w:val="en-US" w:eastAsia="zh-CN"/>
                    </w:rPr>
                    <w:t>2</w:t>
                  </w:r>
                </w:p>
              </w:tc>
              <w:tc>
                <w:tcPr>
                  <w:tcW w:w="4631" w:type="dxa"/>
                  <w:tcBorders>
                    <w:left w:val="single" w:color="000000" w:sz="4" w:space="0"/>
                    <w:right w:val="single" w:color="000000" w:sz="4" w:space="0"/>
                  </w:tcBorders>
                </w:tcPr>
                <w:p w14:paraId="245B289A">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施工期:</w:t>
                  </w:r>
                </w:p>
                <w:p w14:paraId="069BBE37">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1、项目施工期产生的废水主要为施工废水、员工生活污水。其中施工废水经施工场地临时沉淀池处理后用于要水抑尘，不外排</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生活污水经采用移动式厕所收集后运至城镇污水厂纳污范围内的公共卫生间排放。项目施工应尽量减少开挖面积，避免雨季作业，采取防雨措施，防止水土流失，注重沿海滩涂生态保护，对污水进行导流沉淀，防止施工泥沙污染农田和水体。</w:t>
                  </w:r>
                </w:p>
                <w:p w14:paraId="7C34608C">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项目施工期产生的大气污染物主要为混凝土搅拌粉尘施工扬尘、机械废气。其中施工期扬尘经采取物料遮盖、道路酒水、车辆限速行驶等措施后无组织排放，执行《大气污染物综合排放标准》(GB16297-1996)中表2标准要求</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机械度气经采取使用合格燃料等措施无组织排放，执行《大气污染物综合排放标准》(GB16297-1996)中表2标准要求。加强对设施的管理和维护，禁止大风天气施工，减少对周围环境污染影响。3、选用低噪声运输施工设备，采取有效的消声、降噪措施，严格控制施工时间，防止施工噪声对环境造成影响，施工期边界噪声应符合《建筑施工场界环境噪声排放标准》(GB12523-2011)要求。</w:t>
                  </w:r>
                </w:p>
                <w:p w14:paraId="652CF847">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4、项目施工过程中产生的废弃建筑材料、挖方产生的淤泥，不得随便堆放或倒入水体，应采取防雨等有效的措施进行处置，开挖的土方应回填，在场区内暂存的一般固体废物，应合理设置堆放场所，妥善贮存。</w:t>
                  </w:r>
                </w:p>
                <w:p w14:paraId="20E10511">
                  <w:pPr>
                    <w:pStyle w:val="22"/>
                    <w:spacing w:before="73"/>
                    <w:ind w:left="66" w:right="27"/>
                    <w:jc w:val="center"/>
                    <w:rPr>
                      <w:sz w:val="21"/>
                      <w:highlight w:val="none"/>
                    </w:rPr>
                  </w:pPr>
                </w:p>
              </w:tc>
              <w:tc>
                <w:tcPr>
                  <w:tcW w:w="3149" w:type="dxa"/>
                  <w:tcBorders>
                    <w:left w:val="single" w:color="000000" w:sz="4" w:space="0"/>
                  </w:tcBorders>
                </w:tcPr>
                <w:p w14:paraId="7D07B625">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施工期:</w:t>
                  </w:r>
                </w:p>
                <w:p w14:paraId="6A1C9ED2">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1、项目施工期产生的废水主要为施工废水、员工生活污水。其中施工废水经施工场地临时沉淀池处理后用于要水抑尘，不外排</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生活污水经采用移动式厕所收集后运至城镇污水厂纳污范围内的公共卫生间排放。项目施工尽量减少开挖面积，避免雨季作业，采取防雨措施，防止水土流失，注重沿海滩涂生态保护，对污水进行导流沉淀，防止施工泥沙污染农田和水体。</w:t>
                  </w:r>
                </w:p>
                <w:p w14:paraId="43842479">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项目施工期产生的大气污染物主要为混凝土搅拌粉尘施工扬尘、机械废气。其中施工期扬尘经采取物料遮盖、道路酒水、车辆限速行驶等措施后无组织排放，执行《大气污染物综合排放标准》(GB16297-1996)中表2标准要求</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机械度气经采取使用合格燃料等措施无组织排放，执行《大气污染物综合排放标准》(GB16297-1996)中表2标准要求。加强对设施的管理和维护，禁止大风天气施工，减少对周围环境污染影响。3、选用低噪声运输施工设备，采取有效的消声、降噪措施，严格控制施工时间，防止施工噪声对环境造成影响，施工期边界噪声应符合《建筑施工场界环境噪声排放标准》(GB12523-2011)要求。</w:t>
                  </w:r>
                </w:p>
                <w:p w14:paraId="59AAB06A">
                  <w:pPr>
                    <w:pStyle w:val="22"/>
                    <w:spacing w:before="73"/>
                    <w:ind w:left="52" w:right="10"/>
                    <w:jc w:val="center"/>
                    <w:rPr>
                      <w:sz w:val="21"/>
                      <w:highlight w:val="none"/>
                    </w:rPr>
                  </w:pPr>
                  <w:r>
                    <w:rPr>
                      <w:rFonts w:hint="eastAsia" w:ascii="宋体" w:hAnsi="宋体" w:eastAsia="宋体" w:cs="宋体"/>
                      <w:bCs/>
                      <w:sz w:val="24"/>
                      <w:szCs w:val="24"/>
                      <w:highlight w:val="none"/>
                    </w:rPr>
                    <w:t>4、项目施工过程中产生的废弃建筑材料、挖方产生的淤泥，应采取防雨等有效的措施进行处置，开挖的土方应回填，在场区内暂存的一般固体废物，应合理设置堆放场所，妥善贮存。</w:t>
                  </w:r>
                </w:p>
              </w:tc>
            </w:tr>
            <w:tr w14:paraId="0882AD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505" w:type="dxa"/>
                  <w:tcBorders>
                    <w:right w:val="single" w:color="000000" w:sz="4" w:space="0"/>
                  </w:tcBorders>
                </w:tcPr>
                <w:p w14:paraId="0FB41FF1">
                  <w:pPr>
                    <w:pStyle w:val="22"/>
                    <w:spacing w:before="73"/>
                    <w:ind w:left="31"/>
                    <w:jc w:val="center"/>
                    <w:rPr>
                      <w:rFonts w:hint="eastAsia" w:eastAsia="宋体"/>
                      <w:sz w:val="21"/>
                      <w:highlight w:val="none"/>
                      <w:lang w:val="en-US" w:eastAsia="zh-CN"/>
                    </w:rPr>
                  </w:pPr>
                  <w:r>
                    <w:rPr>
                      <w:rFonts w:hint="eastAsia"/>
                      <w:sz w:val="21"/>
                      <w:highlight w:val="none"/>
                      <w:lang w:val="en-US" w:eastAsia="zh-CN"/>
                    </w:rPr>
                    <w:t>3</w:t>
                  </w:r>
                </w:p>
              </w:tc>
              <w:tc>
                <w:tcPr>
                  <w:tcW w:w="4631" w:type="dxa"/>
                  <w:tcBorders>
                    <w:left w:val="single" w:color="000000" w:sz="4" w:space="0"/>
                    <w:right w:val="single" w:color="000000" w:sz="4" w:space="0"/>
                  </w:tcBorders>
                </w:tcPr>
                <w:p w14:paraId="70B90180">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营运期:</w:t>
                  </w:r>
                </w:p>
                <w:p w14:paraId="2261C1BE">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1、营运期产生的废水主要为太阳能电池板清洗废水、员工生活污水。其中太阳能电池板清洗废水直接排入光伏区下方的鱼塘，不外排</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员工生活污水经站内污水处理设施处理符合《城市污水再生利用城市杂用水水质》(GB/T18920-2012)标准要求后回用于站内绿化，不外排。</w:t>
                  </w:r>
                </w:p>
                <w:p w14:paraId="272BA75B">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2、落实有效的大气污染防治措施，并加强对设施的管理和维护。项目产生的废气主要有食堂油烟，经处理符合《饮食业油烟排放标准(试行)》(GB18483-2001)限值要求后由烟道引至综合楼楼顶高空排放。</w:t>
                  </w:r>
                </w:p>
                <w:p w14:paraId="6586E001">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采用低噪声设备和采取有效的隔声降噪措施。项目产生的噪声主要来源于逆变器、变压器、升压站变压器等设备噪声，经采用合理布置厂区，对高噪声设备隔声、减振、消音等处理措施后，符合《工业企业厂界环境噪声排放标准》(GB12348-2008)2类限值要求。</w:t>
                  </w:r>
                </w:p>
                <w:p w14:paraId="2130F91D">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加强固体废物管理。属于危险废物的必须交由有资质的单位进行处理处置，并严格执行危险废物转移联单制度。厂区内的危险废物和一般工业固体废物临时性贮存设施应符合国家《危险废物贮存污染控制标准》(GB18597-2001)和《般工业固体废物贮存、处置场污染控制标准》(GB18599-2001)的规定。生活垃圾收集后统一交由环卫部门处理。</w:t>
                  </w:r>
                </w:p>
                <w:p w14:paraId="7A62A568">
                  <w:pPr>
                    <w:pStyle w:val="22"/>
                    <w:spacing w:before="73"/>
                    <w:ind w:left="66" w:right="27"/>
                    <w:jc w:val="center"/>
                    <w:rPr>
                      <w:sz w:val="21"/>
                      <w:highlight w:val="none"/>
                    </w:rPr>
                  </w:pPr>
                </w:p>
              </w:tc>
              <w:tc>
                <w:tcPr>
                  <w:tcW w:w="3149" w:type="dxa"/>
                  <w:tcBorders>
                    <w:left w:val="single" w:color="000000" w:sz="4" w:space="0"/>
                  </w:tcBorders>
                </w:tcPr>
                <w:p w14:paraId="728FF4C9">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营运期:</w:t>
                  </w:r>
                </w:p>
                <w:p w14:paraId="5DEF6722">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1、营运期产生的废水主要为太阳能电池板清洗废水</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lang w:val="en-US" w:eastAsia="zh-CN"/>
                    </w:rPr>
                    <w:t>无</w:t>
                  </w:r>
                  <w:r>
                    <w:rPr>
                      <w:rFonts w:hint="eastAsia" w:ascii="宋体" w:hAnsi="宋体" w:eastAsia="宋体" w:cs="宋体"/>
                      <w:bCs/>
                      <w:sz w:val="24"/>
                      <w:szCs w:val="24"/>
                      <w:highlight w:val="none"/>
                    </w:rPr>
                    <w:t>员工生活污水。其中太阳能电池板清洗废水直接排入光伏区下方的鱼塘，不外排。</w:t>
                  </w:r>
                </w:p>
                <w:p w14:paraId="0077E45E">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厂区内不设办公场所，无食堂油烟产生</w:t>
                  </w:r>
                  <w:r>
                    <w:rPr>
                      <w:rFonts w:hint="eastAsia" w:ascii="宋体" w:hAnsi="宋体" w:eastAsia="宋体" w:cs="宋体"/>
                      <w:bCs/>
                      <w:sz w:val="24"/>
                      <w:szCs w:val="24"/>
                      <w:highlight w:val="none"/>
                    </w:rPr>
                    <w:t>。</w:t>
                  </w:r>
                </w:p>
                <w:p w14:paraId="5C1A9140">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采用低噪声设备和采取有效的隔声降噪措施。项目产生的噪声主要来源于逆变器、变压器、升压站变压器等设备噪声，经采用合理布置厂区，对高噪声设备隔声、减振、消音等处理措施后，符合《工业企业厂界环境噪声排放标准》(GB12348-2008)2类限值要求。</w:t>
                  </w:r>
                </w:p>
                <w:p w14:paraId="6D37D820">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4、加强固体废物管理。</w:t>
                  </w:r>
                  <w:r>
                    <w:rPr>
                      <w:rFonts w:hint="eastAsia" w:ascii="宋体" w:hAnsi="宋体" w:eastAsia="宋体" w:cs="宋体"/>
                      <w:bCs/>
                      <w:sz w:val="24"/>
                      <w:szCs w:val="24"/>
                      <w:highlight w:val="none"/>
                      <w:lang w:val="en-US" w:eastAsia="zh-CN"/>
                    </w:rPr>
                    <w:t>项目无危险废物和生活垃圾产生，损坏更换的电池组件以及光伏电池组件直接由设备厂家回收。</w:t>
                  </w:r>
                </w:p>
                <w:p w14:paraId="53B4C00D">
                  <w:pPr>
                    <w:pStyle w:val="22"/>
                    <w:spacing w:before="73"/>
                    <w:ind w:left="52" w:right="10"/>
                    <w:jc w:val="center"/>
                    <w:rPr>
                      <w:sz w:val="21"/>
                      <w:highlight w:val="none"/>
                    </w:rPr>
                  </w:pPr>
                </w:p>
              </w:tc>
            </w:tr>
            <w:tr w14:paraId="4BE45B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505" w:type="dxa"/>
                  <w:tcBorders>
                    <w:right w:val="single" w:color="000000" w:sz="4" w:space="0"/>
                  </w:tcBorders>
                </w:tcPr>
                <w:p w14:paraId="4FB8A56B">
                  <w:pPr>
                    <w:pStyle w:val="22"/>
                    <w:spacing w:before="73"/>
                    <w:ind w:left="31"/>
                    <w:jc w:val="center"/>
                    <w:rPr>
                      <w:rFonts w:hint="eastAsia" w:eastAsia="宋体"/>
                      <w:sz w:val="21"/>
                      <w:highlight w:val="none"/>
                      <w:lang w:val="en-US" w:eastAsia="zh-CN"/>
                    </w:rPr>
                  </w:pPr>
                  <w:r>
                    <w:rPr>
                      <w:rFonts w:hint="eastAsia"/>
                      <w:sz w:val="21"/>
                      <w:highlight w:val="none"/>
                      <w:lang w:val="en-US" w:eastAsia="zh-CN"/>
                    </w:rPr>
                    <w:t>4</w:t>
                  </w:r>
                </w:p>
              </w:tc>
              <w:tc>
                <w:tcPr>
                  <w:tcW w:w="4631" w:type="dxa"/>
                  <w:tcBorders>
                    <w:left w:val="single" w:color="000000" w:sz="4" w:space="0"/>
                    <w:right w:val="single" w:color="000000" w:sz="4" w:space="0"/>
                  </w:tcBorders>
                </w:tcPr>
                <w:p w14:paraId="4FB12BFF">
                  <w:pPr>
                    <w:pStyle w:val="22"/>
                    <w:spacing w:before="73"/>
                    <w:ind w:left="66" w:right="27"/>
                    <w:jc w:val="center"/>
                    <w:rPr>
                      <w:sz w:val="21"/>
                      <w:highlight w:val="none"/>
                    </w:rPr>
                  </w:pPr>
                  <w:r>
                    <w:rPr>
                      <w:rFonts w:hint="eastAsia" w:ascii="宋体" w:hAnsi="宋体" w:eastAsia="宋体" w:cs="宋体"/>
                      <w:bCs/>
                      <w:sz w:val="24"/>
                      <w:szCs w:val="24"/>
                      <w:highlight w:val="none"/>
                    </w:rPr>
                    <w:t>落实施工期水土保持和生态保护、恢复措施</w:t>
                  </w:r>
                </w:p>
              </w:tc>
              <w:tc>
                <w:tcPr>
                  <w:tcW w:w="3149" w:type="dxa"/>
                  <w:tcBorders>
                    <w:left w:val="single" w:color="000000" w:sz="4" w:space="0"/>
                  </w:tcBorders>
                </w:tcPr>
                <w:p w14:paraId="57866753">
                  <w:pPr>
                    <w:pStyle w:val="22"/>
                    <w:spacing w:before="73"/>
                    <w:ind w:left="52" w:right="10"/>
                    <w:jc w:val="center"/>
                    <w:rPr>
                      <w:sz w:val="21"/>
                      <w:highlight w:val="none"/>
                    </w:rPr>
                  </w:pPr>
                  <w:r>
                    <w:rPr>
                      <w:rFonts w:hint="eastAsia" w:ascii="宋体" w:hAnsi="宋体" w:eastAsia="宋体" w:cs="宋体"/>
                      <w:bCs/>
                      <w:sz w:val="24"/>
                      <w:szCs w:val="24"/>
                      <w:highlight w:val="none"/>
                    </w:rPr>
                    <w:t>实施工期水土保持和生态保护、恢复措施</w:t>
                  </w:r>
                </w:p>
              </w:tc>
            </w:tr>
            <w:tr w14:paraId="46A294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505" w:type="dxa"/>
                  <w:tcBorders>
                    <w:right w:val="single" w:color="000000" w:sz="4" w:space="0"/>
                  </w:tcBorders>
                </w:tcPr>
                <w:p w14:paraId="699463AE">
                  <w:pPr>
                    <w:pStyle w:val="22"/>
                    <w:spacing w:before="73"/>
                    <w:ind w:left="31"/>
                    <w:jc w:val="center"/>
                    <w:rPr>
                      <w:rFonts w:hint="default" w:eastAsia="宋体"/>
                      <w:sz w:val="21"/>
                      <w:highlight w:val="none"/>
                      <w:lang w:val="en-US" w:eastAsia="zh-CN"/>
                    </w:rPr>
                  </w:pPr>
                  <w:r>
                    <w:rPr>
                      <w:rFonts w:hint="eastAsia"/>
                      <w:sz w:val="21"/>
                      <w:highlight w:val="none"/>
                      <w:lang w:val="en-US" w:eastAsia="zh-CN"/>
                    </w:rPr>
                    <w:t>5</w:t>
                  </w:r>
                </w:p>
              </w:tc>
              <w:tc>
                <w:tcPr>
                  <w:tcW w:w="4631" w:type="dxa"/>
                  <w:tcBorders>
                    <w:left w:val="single" w:color="000000" w:sz="4" w:space="0"/>
                    <w:right w:val="single" w:color="000000" w:sz="4" w:space="0"/>
                  </w:tcBorders>
                </w:tcPr>
                <w:p w14:paraId="27700266">
                  <w:pPr>
                    <w:pStyle w:val="22"/>
                    <w:spacing w:before="73"/>
                    <w:ind w:left="66" w:right="27"/>
                    <w:jc w:val="center"/>
                    <w:rPr>
                      <w:sz w:val="21"/>
                      <w:highlight w:val="none"/>
                    </w:rPr>
                  </w:pPr>
                  <w:r>
                    <w:rPr>
                      <w:rFonts w:hint="eastAsia" w:ascii="宋体" w:hAnsi="宋体" w:eastAsia="宋体" w:cs="宋体"/>
                      <w:bCs/>
                      <w:sz w:val="24"/>
                      <w:szCs w:val="24"/>
                      <w:highlight w:val="none"/>
                    </w:rPr>
                    <w:t>项目建设应严格执行配套建设的环境保护设施与主体工程同时设计、同时施工、同时投产使用的“三同时”制度。项目建成后，按规定进行竣工环保验收，验收合格后，主体工程方可正式投入使用</w:t>
                  </w:r>
                </w:p>
              </w:tc>
              <w:tc>
                <w:tcPr>
                  <w:tcW w:w="3149" w:type="dxa"/>
                  <w:tcBorders>
                    <w:left w:val="single" w:color="000000" w:sz="4" w:space="0"/>
                  </w:tcBorders>
                </w:tcPr>
                <w:p w14:paraId="47BA11AB">
                  <w:pPr>
                    <w:pStyle w:val="22"/>
                    <w:spacing w:before="73"/>
                    <w:ind w:left="52" w:right="10"/>
                    <w:jc w:val="center"/>
                    <w:rPr>
                      <w:rFonts w:hint="default" w:eastAsia="宋体"/>
                      <w:sz w:val="21"/>
                      <w:highlight w:val="none"/>
                      <w:lang w:val="en-US" w:eastAsia="zh-CN"/>
                    </w:rPr>
                  </w:pPr>
                  <w:r>
                    <w:rPr>
                      <w:rFonts w:hint="eastAsia"/>
                      <w:sz w:val="21"/>
                      <w:highlight w:val="none"/>
                      <w:lang w:val="en-US" w:eastAsia="zh-CN"/>
                    </w:rPr>
                    <w:t>项目根据环评文件和批复落实各项环境保护设施，项目目前已建成，开展竣工环保验收中。</w:t>
                  </w:r>
                </w:p>
              </w:tc>
            </w:tr>
          </w:tbl>
          <w:p w14:paraId="2C4B74AF">
            <w:pPr>
              <w:spacing w:line="360" w:lineRule="auto"/>
              <w:ind w:firstLine="482" w:firstLineChars="200"/>
              <w:jc w:val="center"/>
              <w:rPr>
                <w:rFonts w:hint="eastAsia"/>
                <w:b/>
                <w:sz w:val="24"/>
                <w:highlight w:val="none"/>
              </w:rPr>
            </w:pPr>
          </w:p>
        </w:tc>
      </w:tr>
    </w:tbl>
    <w:p w14:paraId="6D5C7BD5">
      <w:pPr>
        <w:spacing w:after="0"/>
        <w:rPr>
          <w:highlight w:val="none"/>
        </w:rPr>
        <w:sectPr>
          <w:pgSz w:w="11910" w:h="16840"/>
          <w:pgMar w:top="1380" w:right="1440" w:bottom="1420" w:left="1580" w:header="0" w:footer="1160" w:gutter="0"/>
          <w:cols w:space="720" w:num="1"/>
        </w:sectPr>
      </w:pPr>
    </w:p>
    <w:p w14:paraId="495D35A2">
      <w:pPr>
        <w:pStyle w:val="5"/>
        <w:spacing w:before="9"/>
        <w:rPr>
          <w:sz w:val="9"/>
          <w:highlight w:val="none"/>
        </w:rPr>
      </w:pPr>
    </w:p>
    <w:p w14:paraId="4F8918EB">
      <w:pPr>
        <w:pStyle w:val="2"/>
        <w:tabs>
          <w:tab w:val="left" w:pos="801"/>
        </w:tabs>
        <w:rPr>
          <w:highlight w:val="none"/>
        </w:rPr>
      </w:pPr>
      <w:r>
        <w:rPr>
          <w:highlight w:val="none"/>
        </w:rPr>
        <mc:AlternateContent>
          <mc:Choice Requires="wps">
            <w:drawing>
              <wp:anchor distT="0" distB="0" distL="114300" distR="114300" simplePos="0" relativeHeight="251661312" behindDoc="1" locked="0" layoutInCell="1" allowOverlap="1">
                <wp:simplePos x="0" y="0"/>
                <wp:positionH relativeFrom="page">
                  <wp:posOffset>1076960</wp:posOffset>
                </wp:positionH>
                <wp:positionV relativeFrom="paragraph">
                  <wp:posOffset>339090</wp:posOffset>
                </wp:positionV>
                <wp:extent cx="703580" cy="716280"/>
                <wp:effectExtent l="3175" t="3175" r="17145" b="4445"/>
                <wp:wrapNone/>
                <wp:docPr id="44" name="直线 38"/>
                <wp:cNvGraphicFramePr/>
                <a:graphic xmlns:a="http://schemas.openxmlformats.org/drawingml/2006/main">
                  <a:graphicData uri="http://schemas.microsoft.com/office/word/2010/wordprocessingShape">
                    <wps:wsp>
                      <wps:cNvCnPr/>
                      <wps:spPr>
                        <a:xfrm>
                          <a:off x="0" y="0"/>
                          <a:ext cx="703580" cy="71628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38" o:spid="_x0000_s1026" o:spt="20" style="position:absolute;left:0pt;margin-left:84.8pt;margin-top:26.7pt;height:56.4pt;width:55.4pt;mso-position-horizontal-relative:page;z-index:-251655168;mso-width-relative:page;mso-height-relative:page;" filled="f" stroked="t" coordsize="21600,21600" o:gfxdata="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NH&#10;l1rWAAAACgEAAA8AAAAAAAAAAQAgAAAAIgAAAGRycy9kb3ducmV2LnhtbFBLAQIUABQAAAAIAIdO&#10;4kBiCPWe7AEAAOEDAAAOAAAAAAAAAAEAIAAAACUBAABkcnMvZTJvRG9jLnhtbFBLBQYAAAAABgAG&#10;AFkBAACDBQAAAAA=&#10;">
                <v:fill on="f" focussize="0,0"/>
                <v:stroke weight="0.5pt" color="#000000" joinstyle="round"/>
                <v:imagedata o:title=""/>
                <o:lock v:ext="edit" aspectratio="f"/>
              </v:line>
            </w:pict>
          </mc:Fallback>
        </mc:AlternateContent>
      </w:r>
      <w:r>
        <w:rPr>
          <w:highlight w:val="none"/>
        </w:rPr>
        <w:t>表</w:t>
      </w:r>
      <w:r>
        <w:rPr>
          <w:rFonts w:ascii="Times New Roman" w:eastAsia="Times New Roman"/>
          <w:highlight w:val="none"/>
        </w:rPr>
        <w:t>6</w:t>
      </w:r>
      <w:r>
        <w:rPr>
          <w:rFonts w:ascii="Times New Roman" w:eastAsia="Times New Roman"/>
          <w:highlight w:val="none"/>
        </w:rPr>
        <w:tab/>
      </w:r>
      <w:r>
        <w:rPr>
          <w:highlight w:val="none"/>
        </w:rPr>
        <w:t>环境保护措施执行情况</w:t>
      </w:r>
    </w:p>
    <w:p w14:paraId="7EABC361">
      <w:pPr>
        <w:pStyle w:val="5"/>
        <w:spacing w:before="11"/>
        <w:rPr>
          <w:b/>
          <w:sz w:val="4"/>
          <w:highlight w:val="none"/>
        </w:rPr>
      </w:pPr>
    </w:p>
    <w:tbl>
      <w:tblPr>
        <w:tblStyle w:val="10"/>
        <w:tblW w:w="0" w:type="auto"/>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0"/>
        <w:gridCol w:w="579"/>
        <w:gridCol w:w="4219"/>
        <w:gridCol w:w="1183"/>
        <w:gridCol w:w="1997"/>
      </w:tblGrid>
      <w:tr w14:paraId="6F96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0" w:hRule="atLeast"/>
        </w:trPr>
        <w:tc>
          <w:tcPr>
            <w:tcW w:w="1119" w:type="dxa"/>
            <w:gridSpan w:val="2"/>
          </w:tcPr>
          <w:p w14:paraId="74FFD3F9">
            <w:pPr>
              <w:pStyle w:val="22"/>
              <w:spacing w:before="125"/>
              <w:ind w:left="441"/>
              <w:rPr>
                <w:sz w:val="21"/>
                <w:szCs w:val="21"/>
                <w:highlight w:val="none"/>
              </w:rPr>
            </w:pPr>
            <w:r>
              <w:rPr>
                <w:sz w:val="21"/>
                <w:szCs w:val="21"/>
                <w:highlight w:val="none"/>
              </w:rPr>
              <w:t>项目</w:t>
            </w:r>
          </w:p>
          <w:p w14:paraId="3ADA1643">
            <w:pPr>
              <w:pStyle w:val="22"/>
              <w:spacing w:before="81"/>
              <w:ind w:left="107"/>
              <w:rPr>
                <w:rFonts w:hint="eastAsia" w:eastAsia="宋体"/>
                <w:sz w:val="21"/>
                <w:szCs w:val="21"/>
                <w:highlight w:val="none"/>
                <w:lang w:val="en-US" w:eastAsia="zh-CN"/>
              </w:rPr>
            </w:pPr>
            <w:r>
              <w:rPr>
                <w:sz w:val="21"/>
                <w:szCs w:val="21"/>
                <w:highlight w:val="none"/>
              </w:rPr>
              <w:t>阶</w:t>
            </w:r>
            <w:r>
              <w:rPr>
                <w:rFonts w:hint="eastAsia"/>
                <w:sz w:val="21"/>
                <w:szCs w:val="21"/>
                <w:highlight w:val="none"/>
                <w:lang w:val="en-US" w:eastAsia="zh-CN"/>
              </w:rPr>
              <w:t>段</w:t>
            </w:r>
          </w:p>
        </w:tc>
        <w:tc>
          <w:tcPr>
            <w:tcW w:w="4219" w:type="dxa"/>
          </w:tcPr>
          <w:p w14:paraId="3088FEC4">
            <w:pPr>
              <w:pStyle w:val="22"/>
              <w:spacing w:before="11"/>
              <w:rPr>
                <w:b/>
                <w:sz w:val="21"/>
                <w:szCs w:val="21"/>
                <w:highlight w:val="none"/>
              </w:rPr>
            </w:pPr>
          </w:p>
          <w:p w14:paraId="016F6225">
            <w:pPr>
              <w:pStyle w:val="22"/>
              <w:spacing w:line="242" w:lineRule="auto"/>
              <w:ind w:left="846" w:right="216" w:hanging="720"/>
              <w:rPr>
                <w:sz w:val="21"/>
                <w:szCs w:val="21"/>
                <w:highlight w:val="none"/>
              </w:rPr>
            </w:pPr>
            <w:r>
              <w:rPr>
                <w:sz w:val="21"/>
                <w:szCs w:val="21"/>
                <w:highlight w:val="none"/>
              </w:rPr>
              <w:t>环境影响报告表及审批文件中要求的环境保护措施</w:t>
            </w:r>
          </w:p>
        </w:tc>
        <w:tc>
          <w:tcPr>
            <w:tcW w:w="1183" w:type="dxa"/>
          </w:tcPr>
          <w:p w14:paraId="7F37DFBF">
            <w:pPr>
              <w:pStyle w:val="22"/>
              <w:spacing w:before="11"/>
              <w:rPr>
                <w:b/>
                <w:sz w:val="21"/>
                <w:szCs w:val="21"/>
                <w:highlight w:val="none"/>
              </w:rPr>
            </w:pPr>
          </w:p>
          <w:p w14:paraId="5B1AD510">
            <w:pPr>
              <w:pStyle w:val="22"/>
              <w:spacing w:line="242" w:lineRule="auto"/>
              <w:ind w:left="241" w:right="113" w:hanging="120"/>
              <w:rPr>
                <w:sz w:val="21"/>
                <w:szCs w:val="21"/>
                <w:highlight w:val="none"/>
              </w:rPr>
            </w:pPr>
            <w:r>
              <w:rPr>
                <w:sz w:val="21"/>
                <w:szCs w:val="21"/>
                <w:highlight w:val="none"/>
              </w:rPr>
              <w:t>环境保护措施的落实情况</w:t>
            </w:r>
          </w:p>
        </w:tc>
        <w:tc>
          <w:tcPr>
            <w:tcW w:w="1997" w:type="dxa"/>
          </w:tcPr>
          <w:p w14:paraId="5FFAD8DB">
            <w:pPr>
              <w:pStyle w:val="22"/>
              <w:spacing w:before="99" w:line="242" w:lineRule="auto"/>
              <w:ind w:left="114" w:right="190"/>
              <w:jc w:val="center"/>
              <w:rPr>
                <w:sz w:val="21"/>
                <w:szCs w:val="21"/>
                <w:highlight w:val="none"/>
              </w:rPr>
            </w:pPr>
            <w:r>
              <w:rPr>
                <w:sz w:val="21"/>
                <w:szCs w:val="21"/>
                <w:highlight w:val="none"/>
              </w:rPr>
              <w:t>措施的执行效果及未采取措施的原因</w:t>
            </w:r>
          </w:p>
        </w:tc>
      </w:tr>
      <w:tr w14:paraId="7811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0" w:type="dxa"/>
            <w:vMerge w:val="restart"/>
            <w:vAlign w:val="center"/>
          </w:tcPr>
          <w:p w14:paraId="266A020C">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r>
              <w:rPr>
                <w:sz w:val="21"/>
                <w:szCs w:val="21"/>
                <w:highlight w:val="none"/>
              </w:rPr>
              <w:t>施工期</w:t>
            </w:r>
          </w:p>
        </w:tc>
        <w:tc>
          <w:tcPr>
            <w:tcW w:w="579" w:type="dxa"/>
            <w:vAlign w:val="center"/>
          </w:tcPr>
          <w:p w14:paraId="0D1C16DF">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r>
              <w:rPr>
                <w:sz w:val="21"/>
                <w:szCs w:val="21"/>
                <w:highlight w:val="none"/>
              </w:rPr>
              <w:t>生态影响</w:t>
            </w:r>
          </w:p>
        </w:tc>
        <w:tc>
          <w:tcPr>
            <w:tcW w:w="4219" w:type="dxa"/>
            <w:vAlign w:val="center"/>
          </w:tcPr>
          <w:p w14:paraId="4035FB66">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施工过程中现有生态景观环境会发生改变，施工中需有步骤分段分片进行，妥善保护好沿线的生态景观环境。施工应注意如下几点：</w:t>
            </w:r>
          </w:p>
          <w:p w14:paraId="529D925A">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1</w:t>
            </w:r>
            <w:r>
              <w:rPr>
                <w:rFonts w:hAnsi="宋体"/>
                <w:kern w:val="0"/>
                <w:sz w:val="21"/>
                <w:szCs w:val="21"/>
                <w:highlight w:val="none"/>
              </w:rPr>
              <w:t>）施工尽量在红线范围进行，以利于维护周边生态景观环境；</w:t>
            </w:r>
          </w:p>
          <w:p w14:paraId="3A408639">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2</w:t>
            </w:r>
            <w:r>
              <w:rPr>
                <w:rFonts w:hAnsi="宋体"/>
                <w:kern w:val="0"/>
                <w:sz w:val="21"/>
                <w:szCs w:val="21"/>
                <w:highlight w:val="none"/>
              </w:rPr>
              <w:t>）要有次序地分片动工，避免沿线景观凌乱，有碍景观，还可设档防板（木、玻璃、铁皮等）作围障，减少景观污染；</w:t>
            </w:r>
          </w:p>
          <w:p w14:paraId="38DF13A6">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3</w:t>
            </w:r>
            <w:r>
              <w:rPr>
                <w:rFonts w:hAnsi="宋体"/>
                <w:kern w:val="0"/>
                <w:sz w:val="21"/>
                <w:szCs w:val="21"/>
                <w:highlight w:val="none"/>
              </w:rPr>
              <w:t>）在满足工程施工要求的前提下，尽量节省占用土地，合理安排施工进度，工程结束后及时清理施工现场，撤出占用场地，及时进行复绿；</w:t>
            </w:r>
          </w:p>
          <w:p w14:paraId="779DF939">
            <w:pPr>
              <w:pStyle w:val="22"/>
              <w:keepNext w:val="0"/>
              <w:keepLines w:val="0"/>
              <w:pageBreakBefore w:val="0"/>
              <w:widowControl w:val="0"/>
              <w:numPr>
                <w:ilvl w:val="0"/>
                <w:numId w:val="0"/>
              </w:numPr>
              <w:tabs>
                <w:tab w:val="left" w:pos="712"/>
              </w:tabs>
              <w:kinsoku/>
              <w:wordWrap/>
              <w:overflowPunct/>
              <w:topLinePunct w:val="0"/>
              <w:autoSpaceDE w:val="0"/>
              <w:autoSpaceDN w:val="0"/>
              <w:bidi w:val="0"/>
              <w:snapToGrid/>
              <w:spacing w:before="0" w:after="0" w:line="240" w:lineRule="auto"/>
              <w:ind w:left="0" w:leftChars="0" w:right="0" w:rightChars="0" w:firstLine="420" w:firstLineChars="200"/>
              <w:jc w:val="left"/>
              <w:textAlignment w:val="auto"/>
              <w:rPr>
                <w:sz w:val="21"/>
                <w:szCs w:val="21"/>
                <w:highlight w:val="none"/>
              </w:rPr>
            </w:pPr>
            <w:r>
              <w:rPr>
                <w:rFonts w:hAnsi="宋体"/>
                <w:kern w:val="0"/>
                <w:sz w:val="21"/>
                <w:szCs w:val="21"/>
                <w:highlight w:val="none"/>
              </w:rPr>
              <w:t>（</w:t>
            </w:r>
            <w:r>
              <w:rPr>
                <w:kern w:val="0"/>
                <w:sz w:val="21"/>
                <w:szCs w:val="21"/>
                <w:highlight w:val="none"/>
              </w:rPr>
              <w:t>4</w:t>
            </w:r>
            <w:r>
              <w:rPr>
                <w:rFonts w:hAnsi="宋体"/>
                <w:kern w:val="0"/>
                <w:sz w:val="21"/>
                <w:szCs w:val="21"/>
                <w:highlight w:val="none"/>
              </w:rPr>
              <w:t>）施工过程应注意保护原有道路绿化带及相邻地带的树木绿地等植被。</w:t>
            </w:r>
          </w:p>
        </w:tc>
        <w:tc>
          <w:tcPr>
            <w:tcW w:w="1183" w:type="dxa"/>
            <w:vAlign w:val="center"/>
          </w:tcPr>
          <w:p w14:paraId="44A73AC2">
            <w:pPr>
              <w:pStyle w:val="22"/>
              <w:keepNext w:val="0"/>
              <w:keepLines w:val="0"/>
              <w:pageBreakBefore w:val="0"/>
              <w:widowControl w:val="0"/>
              <w:kinsoku/>
              <w:wordWrap/>
              <w:overflowPunct/>
              <w:topLinePunct w:val="0"/>
              <w:autoSpaceDE w:val="0"/>
              <w:autoSpaceDN w:val="0"/>
              <w:bidi w:val="0"/>
              <w:snapToGrid/>
              <w:spacing w:line="240" w:lineRule="auto"/>
              <w:ind w:left="0" w:right="0" w:firstLine="420" w:firstLineChars="200"/>
              <w:jc w:val="left"/>
              <w:textAlignment w:val="auto"/>
              <w:rPr>
                <w:sz w:val="21"/>
                <w:szCs w:val="21"/>
                <w:highlight w:val="none"/>
              </w:rPr>
            </w:pPr>
            <w:r>
              <w:rPr>
                <w:sz w:val="21"/>
                <w:szCs w:val="21"/>
                <w:highlight w:val="none"/>
              </w:rPr>
              <w:t>已落实，临时占地已进行恢复</w:t>
            </w:r>
          </w:p>
        </w:tc>
        <w:tc>
          <w:tcPr>
            <w:tcW w:w="1997" w:type="dxa"/>
            <w:vAlign w:val="center"/>
          </w:tcPr>
          <w:p w14:paraId="4C4C33BD">
            <w:pPr>
              <w:pStyle w:val="22"/>
              <w:keepNext w:val="0"/>
              <w:keepLines w:val="0"/>
              <w:pageBreakBefore w:val="0"/>
              <w:widowControl w:val="0"/>
              <w:kinsoku/>
              <w:wordWrap/>
              <w:overflowPunct/>
              <w:topLinePunct w:val="0"/>
              <w:autoSpaceDE w:val="0"/>
              <w:autoSpaceDN w:val="0"/>
              <w:bidi w:val="0"/>
              <w:snapToGrid/>
              <w:spacing w:line="240" w:lineRule="auto"/>
              <w:ind w:left="0" w:right="0" w:firstLine="420" w:firstLineChars="200"/>
              <w:jc w:val="left"/>
              <w:textAlignment w:val="auto"/>
              <w:rPr>
                <w:sz w:val="21"/>
                <w:szCs w:val="21"/>
                <w:highlight w:val="none"/>
              </w:rPr>
            </w:pPr>
            <w:r>
              <w:rPr>
                <w:sz w:val="21"/>
                <w:szCs w:val="21"/>
                <w:highlight w:val="none"/>
              </w:rPr>
              <w:t>经调查，施工占地均在征地范围内，通过施工管理，减少了对原有植被的破坏面积，施工过程对地表植被的破坏基本进行绿化恢复；对扰动地表区域，进行了土地整治，返还表土，挖方、填方基本平衡。</w:t>
            </w:r>
          </w:p>
        </w:tc>
      </w:tr>
      <w:tr w14:paraId="1D55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0" w:type="dxa"/>
            <w:vMerge w:val="continue"/>
            <w:vAlign w:val="center"/>
          </w:tcPr>
          <w:p w14:paraId="4CCB7334">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p>
        </w:tc>
        <w:tc>
          <w:tcPr>
            <w:tcW w:w="579" w:type="dxa"/>
            <w:vAlign w:val="center"/>
          </w:tcPr>
          <w:p w14:paraId="2FC8B55E">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r>
              <w:rPr>
                <w:sz w:val="21"/>
                <w:szCs w:val="21"/>
                <w:highlight w:val="none"/>
              </w:rPr>
              <w:t>废气</w:t>
            </w:r>
          </w:p>
        </w:tc>
        <w:tc>
          <w:tcPr>
            <w:tcW w:w="4219" w:type="dxa"/>
            <w:vAlign w:val="center"/>
          </w:tcPr>
          <w:p w14:paraId="16B30239">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1</w:t>
            </w:r>
            <w:r>
              <w:rPr>
                <w:rFonts w:hAnsi="宋体"/>
                <w:kern w:val="0"/>
                <w:sz w:val="21"/>
                <w:szCs w:val="21"/>
                <w:highlight w:val="none"/>
              </w:rPr>
              <w:t>）工地砂土、物料</w:t>
            </w:r>
            <w:r>
              <w:rPr>
                <w:kern w:val="0"/>
                <w:sz w:val="21"/>
                <w:szCs w:val="21"/>
                <w:highlight w:val="none"/>
              </w:rPr>
              <w:t>100%</w:t>
            </w:r>
            <w:r>
              <w:rPr>
                <w:rFonts w:hAnsi="宋体"/>
                <w:kern w:val="0"/>
                <w:sz w:val="21"/>
                <w:szCs w:val="21"/>
                <w:highlight w:val="none"/>
              </w:rPr>
              <w:t>覆盖</w:t>
            </w:r>
          </w:p>
          <w:p w14:paraId="2BEC4C8D">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2</w:t>
            </w:r>
            <w:r>
              <w:rPr>
                <w:rFonts w:hAnsi="宋体"/>
                <w:kern w:val="0"/>
                <w:sz w:val="21"/>
                <w:szCs w:val="21"/>
                <w:highlight w:val="none"/>
              </w:rPr>
              <w:t>）施工作业</w:t>
            </w:r>
            <w:r>
              <w:rPr>
                <w:kern w:val="0"/>
                <w:sz w:val="21"/>
                <w:szCs w:val="21"/>
                <w:highlight w:val="none"/>
              </w:rPr>
              <w:t>100%</w:t>
            </w:r>
            <w:r>
              <w:rPr>
                <w:rFonts w:hAnsi="宋体"/>
                <w:kern w:val="0"/>
                <w:sz w:val="21"/>
                <w:szCs w:val="21"/>
                <w:highlight w:val="none"/>
              </w:rPr>
              <w:t>洒水（拆除工程</w:t>
            </w:r>
            <w:r>
              <w:rPr>
                <w:kern w:val="0"/>
                <w:sz w:val="21"/>
                <w:szCs w:val="21"/>
                <w:highlight w:val="none"/>
              </w:rPr>
              <w:t>100%</w:t>
            </w:r>
            <w:r>
              <w:rPr>
                <w:rFonts w:hAnsi="宋体"/>
                <w:kern w:val="0"/>
                <w:sz w:val="21"/>
                <w:szCs w:val="21"/>
                <w:highlight w:val="none"/>
              </w:rPr>
              <w:t>洒水降尘）</w:t>
            </w:r>
          </w:p>
          <w:p w14:paraId="39AB9F2C">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3</w:t>
            </w:r>
            <w:r>
              <w:rPr>
                <w:rFonts w:hAnsi="宋体"/>
                <w:kern w:val="0"/>
                <w:sz w:val="21"/>
                <w:szCs w:val="21"/>
                <w:highlight w:val="none"/>
              </w:rPr>
              <w:t>）出工地车辆</w:t>
            </w:r>
            <w:r>
              <w:rPr>
                <w:kern w:val="0"/>
                <w:sz w:val="21"/>
                <w:szCs w:val="21"/>
                <w:highlight w:val="none"/>
              </w:rPr>
              <w:t>100%</w:t>
            </w:r>
            <w:r>
              <w:rPr>
                <w:rFonts w:hAnsi="宋体"/>
                <w:kern w:val="0"/>
                <w:sz w:val="21"/>
                <w:szCs w:val="21"/>
                <w:highlight w:val="none"/>
              </w:rPr>
              <w:t>冲净车轮车身</w:t>
            </w:r>
          </w:p>
          <w:p w14:paraId="76BEF678">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4</w:t>
            </w:r>
            <w:r>
              <w:rPr>
                <w:rFonts w:hAnsi="宋体"/>
                <w:kern w:val="0"/>
                <w:sz w:val="21"/>
                <w:szCs w:val="21"/>
                <w:highlight w:val="none"/>
              </w:rPr>
              <w:t>）长期裸土</w:t>
            </w:r>
            <w:r>
              <w:rPr>
                <w:kern w:val="0"/>
                <w:sz w:val="21"/>
                <w:szCs w:val="21"/>
                <w:highlight w:val="none"/>
              </w:rPr>
              <w:t>100%</w:t>
            </w:r>
            <w:r>
              <w:rPr>
                <w:rFonts w:hAnsi="宋体"/>
                <w:kern w:val="0"/>
                <w:sz w:val="21"/>
                <w:szCs w:val="21"/>
                <w:highlight w:val="none"/>
              </w:rPr>
              <w:t>覆盖或绿化</w:t>
            </w:r>
          </w:p>
          <w:p w14:paraId="13835E18">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5</w:t>
            </w:r>
            <w:r>
              <w:rPr>
                <w:rFonts w:hAnsi="宋体"/>
                <w:kern w:val="0"/>
                <w:sz w:val="21"/>
                <w:szCs w:val="21"/>
                <w:highlight w:val="none"/>
              </w:rPr>
              <w:t>）建设、施工、监理企业在落实</w:t>
            </w:r>
            <w:r>
              <w:rPr>
                <w:kern w:val="0"/>
                <w:sz w:val="21"/>
                <w:szCs w:val="21"/>
                <w:highlight w:val="none"/>
              </w:rPr>
              <w:t>“6</w:t>
            </w:r>
            <w:r>
              <w:rPr>
                <w:rFonts w:hAnsi="宋体"/>
                <w:kern w:val="0"/>
                <w:sz w:val="21"/>
                <w:szCs w:val="21"/>
                <w:highlight w:val="none"/>
              </w:rPr>
              <w:t>个</w:t>
            </w:r>
            <w:r>
              <w:rPr>
                <w:kern w:val="0"/>
                <w:sz w:val="21"/>
                <w:szCs w:val="21"/>
                <w:highlight w:val="none"/>
              </w:rPr>
              <w:t>100%”</w:t>
            </w:r>
            <w:r>
              <w:rPr>
                <w:rFonts w:hAnsi="宋体"/>
                <w:kern w:val="0"/>
                <w:sz w:val="21"/>
                <w:szCs w:val="21"/>
                <w:highlight w:val="none"/>
              </w:rPr>
              <w:t>要求中所承担的职责</w:t>
            </w:r>
          </w:p>
          <w:p w14:paraId="0404F1A3">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sz w:val="21"/>
                <w:szCs w:val="21"/>
                <w:highlight w:val="none"/>
              </w:rPr>
            </w:pPr>
            <w:r>
              <w:rPr>
                <w:rFonts w:hAnsi="宋体"/>
                <w:kern w:val="0"/>
                <w:sz w:val="21"/>
                <w:szCs w:val="21"/>
                <w:highlight w:val="none"/>
              </w:rPr>
              <w:t>（</w:t>
            </w:r>
            <w:r>
              <w:rPr>
                <w:kern w:val="0"/>
                <w:sz w:val="21"/>
                <w:szCs w:val="21"/>
                <w:highlight w:val="none"/>
              </w:rPr>
              <w:t>6</w:t>
            </w:r>
            <w:r>
              <w:rPr>
                <w:rFonts w:hAnsi="宋体"/>
                <w:kern w:val="0"/>
                <w:sz w:val="21"/>
                <w:szCs w:val="21"/>
                <w:highlight w:val="none"/>
              </w:rPr>
              <w:t>）禁止在施工工地燃烧建筑废弃物和生活垃圾。</w:t>
            </w:r>
          </w:p>
        </w:tc>
        <w:tc>
          <w:tcPr>
            <w:tcW w:w="1183" w:type="dxa"/>
            <w:vAlign w:val="center"/>
          </w:tcPr>
          <w:p w14:paraId="1D935E58">
            <w:pPr>
              <w:pStyle w:val="22"/>
              <w:keepNext w:val="0"/>
              <w:keepLines w:val="0"/>
              <w:pageBreakBefore w:val="0"/>
              <w:widowControl w:val="0"/>
              <w:kinsoku/>
              <w:wordWrap/>
              <w:overflowPunct/>
              <w:topLinePunct w:val="0"/>
              <w:autoSpaceDE w:val="0"/>
              <w:autoSpaceDN w:val="0"/>
              <w:bidi w:val="0"/>
              <w:snapToGrid/>
              <w:spacing w:before="188" w:line="240" w:lineRule="auto"/>
              <w:ind w:left="0" w:right="0" w:firstLine="420" w:firstLineChars="200"/>
              <w:jc w:val="left"/>
              <w:textAlignment w:val="auto"/>
              <w:rPr>
                <w:sz w:val="21"/>
                <w:szCs w:val="21"/>
                <w:highlight w:val="none"/>
              </w:rPr>
            </w:pPr>
            <w:r>
              <w:rPr>
                <w:sz w:val="21"/>
                <w:szCs w:val="21"/>
                <w:highlight w:val="none"/>
              </w:rPr>
              <w:t>已落实，采取相应措施后，对周边大气环境影响较小</w:t>
            </w:r>
          </w:p>
        </w:tc>
        <w:tc>
          <w:tcPr>
            <w:tcW w:w="1997" w:type="dxa"/>
            <w:vAlign w:val="center"/>
          </w:tcPr>
          <w:p w14:paraId="162817BD">
            <w:pPr>
              <w:pStyle w:val="22"/>
              <w:keepNext w:val="0"/>
              <w:keepLines w:val="0"/>
              <w:pageBreakBefore w:val="0"/>
              <w:widowControl w:val="0"/>
              <w:kinsoku/>
              <w:wordWrap/>
              <w:overflowPunct/>
              <w:topLinePunct w:val="0"/>
              <w:autoSpaceDE w:val="0"/>
              <w:autoSpaceDN w:val="0"/>
              <w:bidi w:val="0"/>
              <w:snapToGrid/>
              <w:spacing w:line="240" w:lineRule="auto"/>
              <w:ind w:left="0" w:right="0" w:firstLine="420" w:firstLineChars="200"/>
              <w:jc w:val="left"/>
              <w:textAlignment w:val="auto"/>
              <w:rPr>
                <w:sz w:val="21"/>
                <w:szCs w:val="21"/>
                <w:highlight w:val="none"/>
              </w:rPr>
            </w:pPr>
            <w:r>
              <w:rPr>
                <w:sz w:val="21"/>
                <w:szCs w:val="21"/>
                <w:highlight w:val="none"/>
              </w:rPr>
              <w:t>经调查，施工期通过严格管理、加强人员教育、优化施工方法、采取一定的遮盖</w:t>
            </w:r>
            <w:r>
              <w:rPr>
                <w:spacing w:val="-6"/>
                <w:sz w:val="21"/>
                <w:szCs w:val="21"/>
                <w:highlight w:val="none"/>
              </w:rPr>
              <w:t>措施、洒水抑尘、</w:t>
            </w:r>
            <w:r>
              <w:rPr>
                <w:sz w:val="21"/>
                <w:szCs w:val="21"/>
                <w:highlight w:val="none"/>
              </w:rPr>
              <w:t>保持路面的清洁和湿润、限制车速</w:t>
            </w:r>
            <w:r>
              <w:rPr>
                <w:rFonts w:hint="eastAsia"/>
                <w:sz w:val="21"/>
                <w:szCs w:val="21"/>
                <w:highlight w:val="none"/>
                <w:lang w:eastAsia="zh-CN"/>
              </w:rPr>
              <w:t>、</w:t>
            </w:r>
            <w:r>
              <w:rPr>
                <w:rFonts w:hint="eastAsia"/>
                <w:sz w:val="21"/>
                <w:szCs w:val="21"/>
                <w:highlight w:val="none"/>
                <w:lang w:val="en-US" w:eastAsia="zh-CN"/>
              </w:rPr>
              <w:t>禁烧垃圾</w:t>
            </w:r>
            <w:r>
              <w:rPr>
                <w:sz w:val="21"/>
                <w:szCs w:val="21"/>
                <w:highlight w:val="none"/>
              </w:rPr>
              <w:t>等措施有效减缓对周边大气环境的影响。</w:t>
            </w:r>
          </w:p>
        </w:tc>
      </w:tr>
      <w:tr w14:paraId="5F8F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0" w:type="dxa"/>
            <w:vMerge w:val="continue"/>
            <w:vAlign w:val="center"/>
          </w:tcPr>
          <w:p w14:paraId="751811B8">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p>
        </w:tc>
        <w:tc>
          <w:tcPr>
            <w:tcW w:w="579" w:type="dxa"/>
            <w:vAlign w:val="center"/>
          </w:tcPr>
          <w:p w14:paraId="06627A8F">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eastAsia="宋体"/>
                <w:sz w:val="21"/>
                <w:szCs w:val="21"/>
                <w:highlight w:val="none"/>
                <w:lang w:val="en-US" w:eastAsia="zh-CN"/>
              </w:rPr>
            </w:pPr>
            <w:r>
              <w:rPr>
                <w:sz w:val="21"/>
                <w:szCs w:val="21"/>
                <w:highlight w:val="none"/>
              </w:rPr>
              <w:t>废</w:t>
            </w:r>
            <w:r>
              <w:rPr>
                <w:rFonts w:hint="eastAsia"/>
                <w:sz w:val="21"/>
                <w:szCs w:val="21"/>
                <w:highlight w:val="none"/>
                <w:lang w:val="en-US" w:eastAsia="zh-CN"/>
              </w:rPr>
              <w:t>水</w:t>
            </w:r>
          </w:p>
        </w:tc>
        <w:tc>
          <w:tcPr>
            <w:tcW w:w="4219" w:type="dxa"/>
            <w:vAlign w:val="center"/>
          </w:tcPr>
          <w:p w14:paraId="05758555">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1</w:t>
            </w:r>
            <w:r>
              <w:rPr>
                <w:rFonts w:hAnsi="宋体"/>
                <w:kern w:val="0"/>
                <w:sz w:val="21"/>
                <w:szCs w:val="21"/>
                <w:highlight w:val="none"/>
              </w:rPr>
              <w:t>）施工人员产生的生活废水建议采用移动式厕所，收集后运至城镇污水厂纳污范围内的公共卫生间排放。</w:t>
            </w:r>
          </w:p>
          <w:p w14:paraId="411A53CF">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2</w:t>
            </w:r>
            <w:r>
              <w:rPr>
                <w:rFonts w:hAnsi="宋体"/>
                <w:kern w:val="0"/>
                <w:sz w:val="21"/>
                <w:szCs w:val="21"/>
                <w:highlight w:val="none"/>
              </w:rPr>
              <w:t>）因此施工废水不得直接排入周边水体。施工场地主要出入口应设置洗车槽、隔油沉淀池、排水沟等设施，以收集冲洗车辆、施工机械产生的废水，经沉淀池沉淀后回用到施工中去（如喷洒压尘等），不外排；同时设置临时的排雨系统，将暴雨期间的雨水引入沉淀池沉淀净化后方可排放。</w:t>
            </w:r>
          </w:p>
          <w:p w14:paraId="3216A0FE">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3</w:t>
            </w:r>
            <w:r>
              <w:rPr>
                <w:rFonts w:hAnsi="宋体"/>
                <w:kern w:val="0"/>
                <w:sz w:val="21"/>
                <w:szCs w:val="21"/>
                <w:highlight w:val="none"/>
              </w:rPr>
              <w:t>）为了防止施工对周围水体产生的石油类污染，在施工过程中，定时清洁建筑施工机械表面不必要的润滑油及其它油污，尽量减小建筑施工机械设备与水体的直接接触；对废弃的用油应妥善处置；加强施工机械设备的维修保养，避免施工机械在施工过程中燃料用油跑、冒、滴、漏现象的发生。</w:t>
            </w:r>
          </w:p>
          <w:p w14:paraId="4A18D467">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4</w:t>
            </w:r>
            <w:r>
              <w:rPr>
                <w:rFonts w:hAnsi="宋体"/>
                <w:kern w:val="0"/>
                <w:sz w:val="21"/>
                <w:szCs w:val="21"/>
                <w:highlight w:val="none"/>
              </w:rPr>
              <w:t>）施工须在红线范围进行，堆土、堆料不得侵入附近的林地、农田和河涌等，以利维护周边生态景观环境。</w:t>
            </w:r>
          </w:p>
          <w:p w14:paraId="2DCC4024">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5</w:t>
            </w:r>
            <w:r>
              <w:rPr>
                <w:rFonts w:hAnsi="宋体"/>
                <w:kern w:val="0"/>
                <w:sz w:val="21"/>
                <w:szCs w:val="21"/>
                <w:highlight w:val="none"/>
              </w:rPr>
              <w:t>）对于施工垃圾、维修垃圾，由于进入水体会造成污染，所以均要求组织回收、分类、贮藏和处理，其中可利用的物料，应重点利用或提交收购，如多数的纸质、木质、金属性和玻璃质的垃圾可供收购站再利用，对不能利用的，应交由环卫部门妥善进行无害化处理、焚烧、填埋等。</w:t>
            </w:r>
          </w:p>
          <w:p w14:paraId="7E6DB474">
            <w:pPr>
              <w:pStyle w:val="22"/>
              <w:keepNext w:val="0"/>
              <w:keepLines w:val="0"/>
              <w:pageBreakBefore w:val="0"/>
              <w:widowControl w:val="0"/>
              <w:kinsoku/>
              <w:wordWrap/>
              <w:overflowPunct/>
              <w:topLinePunct w:val="0"/>
              <w:autoSpaceDE w:val="0"/>
              <w:autoSpaceDN w:val="0"/>
              <w:bidi w:val="0"/>
              <w:snapToGrid/>
              <w:spacing w:before="1" w:line="240" w:lineRule="auto"/>
              <w:ind w:left="0" w:right="0" w:firstLine="420" w:firstLineChars="200"/>
              <w:jc w:val="left"/>
              <w:textAlignment w:val="auto"/>
              <w:rPr>
                <w:sz w:val="21"/>
                <w:szCs w:val="21"/>
                <w:highlight w:val="none"/>
              </w:rPr>
            </w:pPr>
            <w:r>
              <w:rPr>
                <w:rFonts w:hAnsi="宋体"/>
                <w:kern w:val="0"/>
                <w:sz w:val="21"/>
                <w:szCs w:val="21"/>
                <w:highlight w:val="none"/>
              </w:rPr>
              <w:t>（</w:t>
            </w:r>
            <w:r>
              <w:rPr>
                <w:kern w:val="0"/>
                <w:sz w:val="21"/>
                <w:szCs w:val="21"/>
                <w:highlight w:val="none"/>
              </w:rPr>
              <w:t>6</w:t>
            </w:r>
            <w:r>
              <w:rPr>
                <w:rFonts w:hAnsi="宋体"/>
                <w:kern w:val="0"/>
                <w:sz w:val="21"/>
                <w:szCs w:val="21"/>
                <w:highlight w:val="none"/>
              </w:rPr>
              <w:t>）施工物料堆场应远离地表水体，并设置在径流不易冲刷处，粉状物料堆场应配有草包蓬布等遮盖物并在周围挖设明沟防止径流冲刷。</w:t>
            </w:r>
          </w:p>
        </w:tc>
        <w:tc>
          <w:tcPr>
            <w:tcW w:w="1183" w:type="dxa"/>
            <w:vAlign w:val="center"/>
          </w:tcPr>
          <w:p w14:paraId="20D503A5">
            <w:pPr>
              <w:pStyle w:val="22"/>
              <w:keepNext w:val="0"/>
              <w:keepLines w:val="0"/>
              <w:pageBreakBefore w:val="0"/>
              <w:widowControl w:val="0"/>
              <w:kinsoku/>
              <w:wordWrap/>
              <w:overflowPunct/>
              <w:topLinePunct w:val="0"/>
              <w:autoSpaceDE w:val="0"/>
              <w:autoSpaceDN w:val="0"/>
              <w:bidi w:val="0"/>
              <w:snapToGrid/>
              <w:spacing w:before="1" w:line="240" w:lineRule="auto"/>
              <w:ind w:left="0" w:right="0" w:firstLine="420" w:firstLineChars="200"/>
              <w:jc w:val="left"/>
              <w:textAlignment w:val="auto"/>
              <w:rPr>
                <w:sz w:val="21"/>
                <w:szCs w:val="21"/>
                <w:highlight w:val="none"/>
              </w:rPr>
            </w:pPr>
            <w:r>
              <w:rPr>
                <w:sz w:val="21"/>
                <w:szCs w:val="21"/>
                <w:highlight w:val="none"/>
              </w:rPr>
              <w:t>废（污）水得到了妥善处置，不排放，未对周边水环境造成显著影响</w:t>
            </w:r>
          </w:p>
        </w:tc>
        <w:tc>
          <w:tcPr>
            <w:tcW w:w="1997" w:type="dxa"/>
            <w:vAlign w:val="center"/>
          </w:tcPr>
          <w:p w14:paraId="431C5AD1">
            <w:pPr>
              <w:pStyle w:val="22"/>
              <w:keepNext w:val="0"/>
              <w:keepLines w:val="0"/>
              <w:pageBreakBefore w:val="0"/>
              <w:widowControl w:val="0"/>
              <w:kinsoku/>
              <w:wordWrap/>
              <w:overflowPunct/>
              <w:topLinePunct w:val="0"/>
              <w:autoSpaceDE w:val="0"/>
              <w:autoSpaceDN w:val="0"/>
              <w:bidi w:val="0"/>
              <w:snapToGrid/>
              <w:spacing w:before="3" w:line="240" w:lineRule="auto"/>
              <w:ind w:left="0" w:right="0" w:firstLine="408" w:firstLineChars="200"/>
              <w:jc w:val="left"/>
              <w:textAlignment w:val="auto"/>
              <w:rPr>
                <w:spacing w:val="-3"/>
                <w:sz w:val="21"/>
                <w:szCs w:val="21"/>
                <w:highlight w:val="none"/>
              </w:rPr>
            </w:pPr>
            <w:r>
              <w:rPr>
                <w:spacing w:val="-3"/>
                <w:sz w:val="21"/>
                <w:szCs w:val="21"/>
                <w:highlight w:val="none"/>
              </w:rPr>
              <w:t>场地设置临时沉淀池，施工污水经沉淀后回用，</w:t>
            </w:r>
          </w:p>
          <w:p w14:paraId="1D4274EB">
            <w:pPr>
              <w:pStyle w:val="22"/>
              <w:keepNext w:val="0"/>
              <w:keepLines w:val="0"/>
              <w:pageBreakBefore w:val="0"/>
              <w:widowControl w:val="0"/>
              <w:kinsoku/>
              <w:wordWrap/>
              <w:overflowPunct/>
              <w:topLinePunct w:val="0"/>
              <w:autoSpaceDE w:val="0"/>
              <w:autoSpaceDN w:val="0"/>
              <w:bidi w:val="0"/>
              <w:snapToGrid/>
              <w:spacing w:before="3" w:line="240" w:lineRule="auto"/>
              <w:ind w:left="0" w:right="0" w:firstLine="420" w:firstLineChars="200"/>
              <w:jc w:val="left"/>
              <w:textAlignment w:val="auto"/>
              <w:rPr>
                <w:sz w:val="21"/>
                <w:szCs w:val="21"/>
                <w:highlight w:val="none"/>
              </w:rPr>
            </w:pPr>
            <w:r>
              <w:rPr>
                <w:rFonts w:hAnsi="宋体"/>
                <w:kern w:val="0"/>
                <w:sz w:val="21"/>
                <w:szCs w:val="21"/>
                <w:highlight w:val="none"/>
              </w:rPr>
              <w:t>生活废水</w:t>
            </w:r>
            <w:r>
              <w:rPr>
                <w:rFonts w:hint="eastAsia" w:hAnsi="宋体"/>
                <w:kern w:val="0"/>
                <w:sz w:val="21"/>
                <w:szCs w:val="21"/>
                <w:highlight w:val="none"/>
              </w:rPr>
              <w:t>运至城镇污水厂纳污范围内的公共卫生间排放</w:t>
            </w:r>
            <w:r>
              <w:rPr>
                <w:rFonts w:hint="eastAsia"/>
                <w:sz w:val="21"/>
                <w:szCs w:val="21"/>
                <w:highlight w:val="none"/>
                <w:lang w:eastAsia="zh-CN"/>
              </w:rPr>
              <w:t>，</w:t>
            </w:r>
            <w:r>
              <w:rPr>
                <w:spacing w:val="-3"/>
                <w:sz w:val="21"/>
                <w:szCs w:val="21"/>
                <w:highlight w:val="none"/>
              </w:rPr>
              <w:t>严格管理，有效减缓了对周边水环境</w:t>
            </w:r>
          </w:p>
          <w:p w14:paraId="7219A9AB">
            <w:pPr>
              <w:pStyle w:val="22"/>
              <w:keepNext w:val="0"/>
              <w:keepLines w:val="0"/>
              <w:pageBreakBefore w:val="0"/>
              <w:widowControl w:val="0"/>
              <w:kinsoku/>
              <w:wordWrap/>
              <w:overflowPunct/>
              <w:topLinePunct w:val="0"/>
              <w:autoSpaceDE w:val="0"/>
              <w:autoSpaceDN w:val="0"/>
              <w:bidi w:val="0"/>
              <w:snapToGrid/>
              <w:spacing w:before="6" w:line="240" w:lineRule="auto"/>
              <w:ind w:left="0" w:leftChars="0" w:right="0" w:rightChars="0" w:firstLine="420" w:firstLineChars="200"/>
              <w:jc w:val="left"/>
              <w:textAlignment w:val="auto"/>
              <w:rPr>
                <w:sz w:val="21"/>
                <w:szCs w:val="21"/>
                <w:highlight w:val="none"/>
              </w:rPr>
            </w:pPr>
            <w:r>
              <w:rPr>
                <w:sz w:val="21"/>
                <w:szCs w:val="21"/>
                <w:highlight w:val="none"/>
              </w:rPr>
              <w:t>的影响。</w:t>
            </w:r>
          </w:p>
        </w:tc>
      </w:tr>
      <w:tr w14:paraId="378E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0" w:type="dxa"/>
            <w:vMerge w:val="continue"/>
            <w:vAlign w:val="center"/>
          </w:tcPr>
          <w:p w14:paraId="55C94D0E">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p>
        </w:tc>
        <w:tc>
          <w:tcPr>
            <w:tcW w:w="579" w:type="dxa"/>
            <w:vAlign w:val="center"/>
          </w:tcPr>
          <w:p w14:paraId="5A12B9E3">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eastAsia="宋体"/>
                <w:sz w:val="21"/>
                <w:szCs w:val="21"/>
                <w:highlight w:val="none"/>
                <w:lang w:val="en-US" w:eastAsia="zh-CN"/>
              </w:rPr>
            </w:pPr>
            <w:r>
              <w:rPr>
                <w:rFonts w:hint="eastAsia"/>
                <w:sz w:val="21"/>
                <w:szCs w:val="21"/>
                <w:highlight w:val="none"/>
                <w:lang w:val="en-US" w:eastAsia="zh-CN"/>
              </w:rPr>
              <w:t>噪声</w:t>
            </w:r>
          </w:p>
        </w:tc>
        <w:tc>
          <w:tcPr>
            <w:tcW w:w="4219" w:type="dxa"/>
            <w:vAlign w:val="center"/>
          </w:tcPr>
          <w:p w14:paraId="3729DF29">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1</w:t>
            </w:r>
            <w:r>
              <w:rPr>
                <w:rFonts w:hAnsi="宋体"/>
                <w:kern w:val="0"/>
                <w:sz w:val="21"/>
                <w:szCs w:val="21"/>
                <w:highlight w:val="none"/>
              </w:rPr>
              <w:t>）为保证居民夜间休息，施工安排在昼间</w:t>
            </w:r>
            <w:r>
              <w:rPr>
                <w:kern w:val="0"/>
                <w:sz w:val="21"/>
                <w:szCs w:val="21"/>
                <w:highlight w:val="none"/>
              </w:rPr>
              <w:t>6</w:t>
            </w:r>
            <w:r>
              <w:rPr>
                <w:rFonts w:hAnsi="宋体"/>
                <w:kern w:val="0"/>
                <w:sz w:val="21"/>
                <w:szCs w:val="21"/>
                <w:highlight w:val="none"/>
              </w:rPr>
              <w:t>：</w:t>
            </w:r>
            <w:r>
              <w:rPr>
                <w:kern w:val="0"/>
                <w:sz w:val="21"/>
                <w:szCs w:val="21"/>
                <w:highlight w:val="none"/>
              </w:rPr>
              <w:t>00</w:t>
            </w:r>
            <w:r>
              <w:rPr>
                <w:rFonts w:hAnsi="宋体"/>
                <w:kern w:val="0"/>
                <w:sz w:val="21"/>
                <w:szCs w:val="21"/>
                <w:highlight w:val="none"/>
              </w:rPr>
              <w:t>～</w:t>
            </w:r>
            <w:r>
              <w:rPr>
                <w:kern w:val="0"/>
                <w:sz w:val="21"/>
                <w:szCs w:val="21"/>
                <w:highlight w:val="none"/>
              </w:rPr>
              <w:t>12</w:t>
            </w:r>
            <w:r>
              <w:rPr>
                <w:rFonts w:hAnsi="宋体"/>
                <w:kern w:val="0"/>
                <w:sz w:val="21"/>
                <w:szCs w:val="21"/>
                <w:highlight w:val="none"/>
              </w:rPr>
              <w:t>：</w:t>
            </w:r>
            <w:r>
              <w:rPr>
                <w:kern w:val="0"/>
                <w:sz w:val="21"/>
                <w:szCs w:val="21"/>
                <w:highlight w:val="none"/>
              </w:rPr>
              <w:t>00</w:t>
            </w:r>
            <w:r>
              <w:rPr>
                <w:rFonts w:hAnsi="宋体"/>
                <w:kern w:val="0"/>
                <w:sz w:val="21"/>
                <w:szCs w:val="21"/>
                <w:highlight w:val="none"/>
              </w:rPr>
              <w:t>、</w:t>
            </w:r>
            <w:r>
              <w:rPr>
                <w:kern w:val="0"/>
                <w:sz w:val="21"/>
                <w:szCs w:val="21"/>
                <w:highlight w:val="none"/>
              </w:rPr>
              <w:t>14</w:t>
            </w:r>
            <w:r>
              <w:rPr>
                <w:rFonts w:hAnsi="宋体"/>
                <w:kern w:val="0"/>
                <w:sz w:val="21"/>
                <w:szCs w:val="21"/>
                <w:highlight w:val="none"/>
              </w:rPr>
              <w:t>：</w:t>
            </w:r>
            <w:r>
              <w:rPr>
                <w:kern w:val="0"/>
                <w:sz w:val="21"/>
                <w:szCs w:val="21"/>
                <w:highlight w:val="none"/>
              </w:rPr>
              <w:t>00</w:t>
            </w:r>
            <w:r>
              <w:rPr>
                <w:rFonts w:hAnsi="宋体"/>
                <w:kern w:val="0"/>
                <w:sz w:val="21"/>
                <w:szCs w:val="21"/>
                <w:highlight w:val="none"/>
              </w:rPr>
              <w:t>～</w:t>
            </w:r>
            <w:r>
              <w:rPr>
                <w:kern w:val="0"/>
                <w:sz w:val="21"/>
                <w:szCs w:val="21"/>
                <w:highlight w:val="none"/>
              </w:rPr>
              <w:t>22</w:t>
            </w:r>
            <w:r>
              <w:rPr>
                <w:rFonts w:hAnsi="宋体"/>
                <w:kern w:val="0"/>
                <w:sz w:val="21"/>
                <w:szCs w:val="21"/>
                <w:highlight w:val="none"/>
              </w:rPr>
              <w:t>：</w:t>
            </w:r>
            <w:r>
              <w:rPr>
                <w:kern w:val="0"/>
                <w:sz w:val="21"/>
                <w:szCs w:val="21"/>
                <w:highlight w:val="none"/>
              </w:rPr>
              <w:t>00</w:t>
            </w:r>
            <w:r>
              <w:rPr>
                <w:rFonts w:hAnsi="宋体"/>
                <w:kern w:val="0"/>
                <w:sz w:val="21"/>
                <w:szCs w:val="21"/>
                <w:highlight w:val="none"/>
              </w:rPr>
              <w:t>期间进行，中午及夜间休息时间禁止施工；若由于工程需要，确实要进行夜间连续施工的，在取得相应主管部门的批准后，通过现场公告等方式告知施工区域附近的横山村和下白沙村等敏感点，同时加快项目的施工建设，尽可能缩短施工期，减小对以上敏感点的影响。</w:t>
            </w:r>
          </w:p>
          <w:p w14:paraId="553CD6DE">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2</w:t>
            </w:r>
            <w:r>
              <w:rPr>
                <w:rFonts w:hAnsi="宋体"/>
                <w:kern w:val="0"/>
                <w:sz w:val="21"/>
                <w:szCs w:val="21"/>
                <w:highlight w:val="none"/>
              </w:rPr>
              <w:t>）尽量采用符合国家有关标准的低噪声的施工机械和运输车辆，使用低噪声的施工工艺。</w:t>
            </w:r>
          </w:p>
          <w:p w14:paraId="7C391F7D">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3</w:t>
            </w:r>
            <w:r>
              <w:rPr>
                <w:rFonts w:hAnsi="宋体"/>
                <w:kern w:val="0"/>
                <w:sz w:val="21"/>
                <w:szCs w:val="21"/>
                <w:highlight w:val="none"/>
              </w:rPr>
              <w:t>）土方工程尽量安排多台设备同时作业，缩短影响时间；将施工现场的固定声源相对集中，以减少声干扰的范围。</w:t>
            </w:r>
          </w:p>
          <w:p w14:paraId="7BEF85EE">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4</w:t>
            </w:r>
            <w:r>
              <w:rPr>
                <w:rFonts w:hAnsi="宋体"/>
                <w:kern w:val="0"/>
                <w:sz w:val="21"/>
                <w:szCs w:val="21"/>
                <w:highlight w:val="none"/>
              </w:rPr>
              <w:t>）加强对运输车辆的管理，按规定组织车辆运输，合理规定运输通道。</w:t>
            </w:r>
          </w:p>
          <w:p w14:paraId="34971D1F">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5</w:t>
            </w:r>
            <w:r>
              <w:rPr>
                <w:rFonts w:hAnsi="宋体"/>
                <w:kern w:val="0"/>
                <w:sz w:val="21"/>
                <w:szCs w:val="21"/>
                <w:highlight w:val="none"/>
              </w:rPr>
              <w:t>）对施工机械操作工人及现场施工人员按劳动卫生标准控制工作时间，亦可采取个人防护措施，如戴隔声耳塞、头盔等。</w:t>
            </w:r>
          </w:p>
          <w:p w14:paraId="4B1C3CED">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sz w:val="21"/>
                <w:szCs w:val="21"/>
                <w:highlight w:val="none"/>
              </w:rPr>
            </w:pPr>
            <w:r>
              <w:rPr>
                <w:rFonts w:hAnsi="宋体"/>
                <w:kern w:val="0"/>
                <w:sz w:val="21"/>
                <w:szCs w:val="21"/>
                <w:highlight w:val="none"/>
              </w:rPr>
              <w:t>（</w:t>
            </w:r>
            <w:r>
              <w:rPr>
                <w:kern w:val="0"/>
                <w:sz w:val="21"/>
                <w:szCs w:val="21"/>
                <w:highlight w:val="none"/>
              </w:rPr>
              <w:t>6</w:t>
            </w:r>
            <w:r>
              <w:rPr>
                <w:rFonts w:hAnsi="宋体"/>
                <w:kern w:val="0"/>
                <w:sz w:val="21"/>
                <w:szCs w:val="21"/>
                <w:highlight w:val="none"/>
              </w:rPr>
              <w:t>）在施工现场张贴布告和标明投诉电话，建设单位在接到报案后应及时与当地生态环境部门取得联系，以便及时处理各种环境纠纷。</w:t>
            </w:r>
          </w:p>
        </w:tc>
        <w:tc>
          <w:tcPr>
            <w:tcW w:w="1183" w:type="dxa"/>
            <w:vAlign w:val="center"/>
          </w:tcPr>
          <w:p w14:paraId="68526838">
            <w:pPr>
              <w:pStyle w:val="22"/>
              <w:keepNext w:val="0"/>
              <w:keepLines w:val="0"/>
              <w:pageBreakBefore w:val="0"/>
              <w:widowControl w:val="0"/>
              <w:kinsoku/>
              <w:wordWrap/>
              <w:overflowPunct/>
              <w:topLinePunct w:val="0"/>
              <w:autoSpaceDE w:val="0"/>
              <w:autoSpaceDN w:val="0"/>
              <w:bidi w:val="0"/>
              <w:snapToGrid/>
              <w:spacing w:line="240" w:lineRule="auto"/>
              <w:ind w:left="0" w:leftChars="0" w:right="0" w:rightChars="0" w:firstLine="420" w:firstLineChars="200"/>
              <w:jc w:val="left"/>
              <w:textAlignment w:val="auto"/>
              <w:rPr>
                <w:sz w:val="21"/>
                <w:szCs w:val="21"/>
                <w:highlight w:val="none"/>
              </w:rPr>
            </w:pPr>
            <w:r>
              <w:rPr>
                <w:sz w:val="21"/>
                <w:szCs w:val="21"/>
                <w:highlight w:val="none"/>
              </w:rPr>
              <w:t>已落实，采取相应措施后，对周边的声环境影响较小。</w:t>
            </w:r>
          </w:p>
        </w:tc>
        <w:tc>
          <w:tcPr>
            <w:tcW w:w="1997" w:type="dxa"/>
            <w:vAlign w:val="center"/>
          </w:tcPr>
          <w:p w14:paraId="485D2762">
            <w:pPr>
              <w:pStyle w:val="22"/>
              <w:keepNext w:val="0"/>
              <w:keepLines w:val="0"/>
              <w:pageBreakBefore w:val="0"/>
              <w:widowControl w:val="0"/>
              <w:kinsoku/>
              <w:wordWrap/>
              <w:overflowPunct/>
              <w:topLinePunct w:val="0"/>
              <w:autoSpaceDE w:val="0"/>
              <w:autoSpaceDN w:val="0"/>
              <w:bidi w:val="0"/>
              <w:snapToGrid/>
              <w:spacing w:line="240" w:lineRule="auto"/>
              <w:ind w:left="0" w:right="0" w:firstLine="420" w:firstLineChars="200"/>
              <w:jc w:val="left"/>
              <w:textAlignment w:val="auto"/>
              <w:rPr>
                <w:sz w:val="21"/>
                <w:szCs w:val="21"/>
                <w:highlight w:val="none"/>
              </w:rPr>
            </w:pPr>
            <w:r>
              <w:rPr>
                <w:sz w:val="21"/>
                <w:szCs w:val="21"/>
                <w:highlight w:val="none"/>
              </w:rPr>
              <w:t>经调查，施工作业均安排在昼间进行，经过距离</w:t>
            </w:r>
            <w:r>
              <w:rPr>
                <w:spacing w:val="-6"/>
                <w:sz w:val="21"/>
                <w:szCs w:val="21"/>
                <w:highlight w:val="none"/>
              </w:rPr>
              <w:t>衰减，施工过程，</w:t>
            </w:r>
            <w:r>
              <w:rPr>
                <w:sz w:val="21"/>
                <w:szCs w:val="21"/>
                <w:highlight w:val="none"/>
              </w:rPr>
              <w:t>运输车辆经过居民区附近时匀速慢行，减少了鸣笛；加强机械设</w:t>
            </w:r>
          </w:p>
          <w:p w14:paraId="1A7FD51C">
            <w:pPr>
              <w:pStyle w:val="22"/>
              <w:keepNext w:val="0"/>
              <w:keepLines w:val="0"/>
              <w:pageBreakBefore w:val="0"/>
              <w:widowControl w:val="0"/>
              <w:kinsoku/>
              <w:wordWrap/>
              <w:overflowPunct/>
              <w:topLinePunct w:val="0"/>
              <w:autoSpaceDE w:val="0"/>
              <w:autoSpaceDN w:val="0"/>
              <w:bidi w:val="0"/>
              <w:snapToGrid/>
              <w:spacing w:before="4" w:line="240" w:lineRule="auto"/>
              <w:ind w:left="0" w:leftChars="0" w:right="0" w:rightChars="0" w:firstLine="420" w:firstLineChars="200"/>
              <w:jc w:val="left"/>
              <w:textAlignment w:val="auto"/>
              <w:rPr>
                <w:sz w:val="21"/>
                <w:szCs w:val="21"/>
                <w:highlight w:val="none"/>
              </w:rPr>
            </w:pPr>
            <w:r>
              <w:rPr>
                <w:sz w:val="21"/>
                <w:szCs w:val="21"/>
                <w:highlight w:val="none"/>
              </w:rPr>
              <w:t>备管理，进行了定期维护。</w:t>
            </w:r>
          </w:p>
        </w:tc>
      </w:tr>
      <w:tr w14:paraId="5E804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0" w:type="dxa"/>
            <w:vMerge w:val="continue"/>
            <w:vAlign w:val="center"/>
          </w:tcPr>
          <w:p w14:paraId="257E815F">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p>
        </w:tc>
        <w:tc>
          <w:tcPr>
            <w:tcW w:w="579" w:type="dxa"/>
            <w:vAlign w:val="center"/>
          </w:tcPr>
          <w:p w14:paraId="099F5327">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eastAsia="宋体"/>
                <w:sz w:val="21"/>
                <w:szCs w:val="21"/>
                <w:highlight w:val="none"/>
                <w:lang w:val="en-US" w:eastAsia="zh-CN"/>
              </w:rPr>
            </w:pPr>
            <w:r>
              <w:rPr>
                <w:rFonts w:hint="eastAsia"/>
                <w:sz w:val="21"/>
                <w:szCs w:val="21"/>
                <w:highlight w:val="none"/>
                <w:lang w:val="en-US" w:eastAsia="zh-CN"/>
              </w:rPr>
              <w:t>固废</w:t>
            </w:r>
          </w:p>
        </w:tc>
        <w:tc>
          <w:tcPr>
            <w:tcW w:w="4219" w:type="dxa"/>
            <w:vAlign w:val="center"/>
          </w:tcPr>
          <w:p w14:paraId="70649BBC">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1</w:t>
            </w:r>
            <w:r>
              <w:rPr>
                <w:rFonts w:hAnsi="宋体"/>
                <w:kern w:val="0"/>
                <w:sz w:val="21"/>
                <w:szCs w:val="21"/>
                <w:highlight w:val="none"/>
              </w:rPr>
              <w:t>）建筑垃圾的废弃材料可以回收的尽量回收。</w:t>
            </w:r>
          </w:p>
          <w:p w14:paraId="2CBF2212">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2</w:t>
            </w:r>
            <w:r>
              <w:rPr>
                <w:rFonts w:hAnsi="宋体"/>
                <w:kern w:val="0"/>
                <w:sz w:val="21"/>
                <w:szCs w:val="21"/>
                <w:highlight w:val="none"/>
              </w:rPr>
              <w:t>）车辆运输散体物料和废弃物时，必须密闭、包扎、覆盖，不得沿途漏撒；运载土方的车辆必须在规定的时间内，按指定路段行驶。</w:t>
            </w:r>
          </w:p>
          <w:p w14:paraId="12CF3F3B">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kern w:val="0"/>
                <w:sz w:val="21"/>
                <w:szCs w:val="21"/>
                <w:highlight w:val="none"/>
              </w:rPr>
            </w:pPr>
            <w:r>
              <w:rPr>
                <w:rFonts w:hAnsi="宋体"/>
                <w:kern w:val="0"/>
                <w:sz w:val="21"/>
                <w:szCs w:val="21"/>
                <w:highlight w:val="none"/>
              </w:rPr>
              <w:t>（</w:t>
            </w:r>
            <w:r>
              <w:rPr>
                <w:kern w:val="0"/>
                <w:sz w:val="21"/>
                <w:szCs w:val="21"/>
                <w:highlight w:val="none"/>
              </w:rPr>
              <w:t>3</w:t>
            </w:r>
            <w:r>
              <w:rPr>
                <w:rFonts w:hAnsi="宋体"/>
                <w:kern w:val="0"/>
                <w:sz w:val="21"/>
                <w:szCs w:val="21"/>
                <w:highlight w:val="none"/>
              </w:rPr>
              <w:t>）生活垃圾与建筑垃圾分开堆放，及时清理，以免污染周围的环境；生活垃圾收集后，应及时由环卫部门分类进行处理。</w:t>
            </w:r>
          </w:p>
          <w:p w14:paraId="64C717A5">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left"/>
              <w:textAlignment w:val="auto"/>
              <w:rPr>
                <w:sz w:val="21"/>
                <w:szCs w:val="21"/>
                <w:highlight w:val="none"/>
              </w:rPr>
            </w:pPr>
            <w:r>
              <w:rPr>
                <w:rFonts w:hAnsi="宋体"/>
                <w:kern w:val="0"/>
                <w:sz w:val="21"/>
                <w:szCs w:val="21"/>
                <w:highlight w:val="none"/>
              </w:rPr>
              <w:t>（</w:t>
            </w:r>
            <w:r>
              <w:rPr>
                <w:kern w:val="0"/>
                <w:sz w:val="21"/>
                <w:szCs w:val="21"/>
                <w:highlight w:val="none"/>
              </w:rPr>
              <w:t>4</w:t>
            </w:r>
            <w:r>
              <w:rPr>
                <w:rFonts w:hAnsi="宋体"/>
                <w:kern w:val="0"/>
                <w:sz w:val="21"/>
                <w:szCs w:val="21"/>
                <w:highlight w:val="none"/>
              </w:rPr>
              <w:t>）在工程竣工以后，施工单位应立即拆除各种临时施工设施，并负责将工地剩余的建筑垃圾、工程渣土处理干净。</w:t>
            </w:r>
          </w:p>
        </w:tc>
        <w:tc>
          <w:tcPr>
            <w:tcW w:w="1183" w:type="dxa"/>
            <w:vAlign w:val="center"/>
          </w:tcPr>
          <w:p w14:paraId="32EEC6CB">
            <w:pPr>
              <w:pStyle w:val="22"/>
              <w:keepNext w:val="0"/>
              <w:keepLines w:val="0"/>
              <w:pageBreakBefore w:val="0"/>
              <w:widowControl w:val="0"/>
              <w:kinsoku/>
              <w:wordWrap/>
              <w:overflowPunct/>
              <w:topLinePunct w:val="0"/>
              <w:autoSpaceDE w:val="0"/>
              <w:autoSpaceDN w:val="0"/>
              <w:bidi w:val="0"/>
              <w:snapToGrid/>
              <w:spacing w:line="240" w:lineRule="auto"/>
              <w:ind w:left="0" w:leftChars="0" w:right="0" w:rightChars="0" w:firstLine="420" w:firstLineChars="200"/>
              <w:jc w:val="left"/>
              <w:textAlignment w:val="auto"/>
              <w:rPr>
                <w:sz w:val="21"/>
                <w:szCs w:val="21"/>
                <w:highlight w:val="none"/>
              </w:rPr>
            </w:pPr>
            <w:r>
              <w:rPr>
                <w:sz w:val="21"/>
                <w:szCs w:val="21"/>
                <w:highlight w:val="none"/>
              </w:rPr>
              <w:t>已落实，施工过程固废均得到妥善合理处置，不产生二次污染。</w:t>
            </w:r>
          </w:p>
        </w:tc>
        <w:tc>
          <w:tcPr>
            <w:tcW w:w="1997" w:type="dxa"/>
            <w:vAlign w:val="center"/>
          </w:tcPr>
          <w:p w14:paraId="3CD9C65C">
            <w:pPr>
              <w:pStyle w:val="22"/>
              <w:keepNext w:val="0"/>
              <w:keepLines w:val="0"/>
              <w:pageBreakBefore w:val="0"/>
              <w:widowControl w:val="0"/>
              <w:kinsoku/>
              <w:wordWrap/>
              <w:overflowPunct/>
              <w:topLinePunct w:val="0"/>
              <w:autoSpaceDE w:val="0"/>
              <w:autoSpaceDN w:val="0"/>
              <w:bidi w:val="0"/>
              <w:snapToGrid/>
              <w:spacing w:before="1" w:line="240" w:lineRule="auto"/>
              <w:ind w:left="0" w:right="0" w:firstLine="420" w:firstLineChars="200"/>
              <w:jc w:val="left"/>
              <w:textAlignment w:val="auto"/>
              <w:rPr>
                <w:sz w:val="21"/>
                <w:szCs w:val="21"/>
                <w:highlight w:val="none"/>
              </w:rPr>
            </w:pPr>
            <w:r>
              <w:rPr>
                <w:sz w:val="21"/>
                <w:szCs w:val="21"/>
                <w:highlight w:val="none"/>
              </w:rPr>
              <w:t>经调查，</w:t>
            </w:r>
            <w:r>
              <w:rPr>
                <w:rFonts w:hint="eastAsia"/>
                <w:sz w:val="21"/>
                <w:szCs w:val="21"/>
                <w:highlight w:val="none"/>
              </w:rPr>
              <w:t>土石方回填，不产生弃方；生活垃圾由环卫部门清运；木材和其他建筑材料可以回收利用</w:t>
            </w:r>
            <w:r>
              <w:rPr>
                <w:sz w:val="21"/>
                <w:szCs w:val="21"/>
                <w:highlight w:val="none"/>
              </w:rPr>
              <w:t>。</w:t>
            </w:r>
          </w:p>
        </w:tc>
      </w:tr>
      <w:tr w14:paraId="69AB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0" w:type="dxa"/>
            <w:vMerge w:val="restart"/>
            <w:vAlign w:val="center"/>
          </w:tcPr>
          <w:p w14:paraId="6365FADE">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eastAsia="宋体"/>
                <w:sz w:val="21"/>
                <w:szCs w:val="21"/>
                <w:highlight w:val="none"/>
                <w:lang w:val="en-US" w:eastAsia="zh-CN"/>
              </w:rPr>
            </w:pPr>
            <w:r>
              <w:rPr>
                <w:rFonts w:hint="eastAsia"/>
                <w:sz w:val="21"/>
                <w:szCs w:val="21"/>
                <w:highlight w:val="none"/>
                <w:lang w:val="en-US" w:eastAsia="zh-CN"/>
              </w:rPr>
              <w:t>运行期</w:t>
            </w:r>
          </w:p>
        </w:tc>
        <w:tc>
          <w:tcPr>
            <w:tcW w:w="579" w:type="dxa"/>
            <w:vAlign w:val="center"/>
          </w:tcPr>
          <w:p w14:paraId="635BA15F">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default" w:eastAsia="宋体"/>
                <w:sz w:val="21"/>
                <w:szCs w:val="21"/>
                <w:highlight w:val="none"/>
                <w:lang w:val="en-US" w:eastAsia="zh-CN"/>
              </w:rPr>
            </w:pPr>
            <w:r>
              <w:rPr>
                <w:rFonts w:hint="eastAsia"/>
                <w:sz w:val="21"/>
                <w:szCs w:val="21"/>
                <w:highlight w:val="none"/>
                <w:lang w:val="en-US" w:eastAsia="zh-CN"/>
              </w:rPr>
              <w:t>生态影响</w:t>
            </w:r>
          </w:p>
        </w:tc>
        <w:tc>
          <w:tcPr>
            <w:tcW w:w="4219" w:type="dxa"/>
            <w:vAlign w:val="center"/>
          </w:tcPr>
          <w:p w14:paraId="01F5EE49">
            <w:pPr>
              <w:pStyle w:val="22"/>
              <w:keepNext w:val="0"/>
              <w:keepLines w:val="0"/>
              <w:pageBreakBefore w:val="0"/>
              <w:widowControl w:val="0"/>
              <w:kinsoku/>
              <w:wordWrap/>
              <w:overflowPunct/>
              <w:topLinePunct w:val="0"/>
              <w:autoSpaceDE w:val="0"/>
              <w:autoSpaceDN w:val="0"/>
              <w:bidi w:val="0"/>
              <w:snapToGrid/>
              <w:spacing w:before="1" w:line="240" w:lineRule="auto"/>
              <w:ind w:left="0" w:right="0" w:firstLine="420" w:firstLineChars="200"/>
              <w:jc w:val="left"/>
              <w:textAlignment w:val="auto"/>
              <w:rPr>
                <w:rFonts w:hint="eastAsia" w:eastAsia="宋体"/>
                <w:sz w:val="21"/>
                <w:szCs w:val="21"/>
                <w:highlight w:val="none"/>
                <w:lang w:val="en-US" w:eastAsia="zh-CN"/>
              </w:rPr>
            </w:pPr>
            <w:r>
              <w:rPr>
                <w:rFonts w:hint="eastAsia"/>
                <w:sz w:val="21"/>
                <w:szCs w:val="21"/>
                <w:highlight w:val="none"/>
                <w:lang w:val="en-US" w:eastAsia="zh-CN"/>
              </w:rPr>
              <w:t>/</w:t>
            </w:r>
          </w:p>
        </w:tc>
        <w:tc>
          <w:tcPr>
            <w:tcW w:w="1183" w:type="dxa"/>
            <w:vAlign w:val="center"/>
          </w:tcPr>
          <w:p w14:paraId="0108237C">
            <w:pPr>
              <w:pStyle w:val="22"/>
              <w:keepNext w:val="0"/>
              <w:keepLines w:val="0"/>
              <w:pageBreakBefore w:val="0"/>
              <w:widowControl w:val="0"/>
              <w:kinsoku/>
              <w:wordWrap/>
              <w:overflowPunct/>
              <w:topLinePunct w:val="0"/>
              <w:autoSpaceDE w:val="0"/>
              <w:autoSpaceDN w:val="0"/>
              <w:bidi w:val="0"/>
              <w:snapToGrid/>
              <w:spacing w:before="1" w:line="240" w:lineRule="auto"/>
              <w:ind w:left="0" w:leftChars="0" w:right="0" w:rightChars="0" w:firstLine="420" w:firstLineChars="200"/>
              <w:jc w:val="left"/>
              <w:textAlignment w:val="auto"/>
              <w:rPr>
                <w:rFonts w:hint="eastAsia" w:eastAsia="宋体"/>
                <w:sz w:val="21"/>
                <w:szCs w:val="21"/>
                <w:highlight w:val="none"/>
                <w:lang w:eastAsia="zh-CN"/>
              </w:rPr>
            </w:pPr>
            <w:r>
              <w:rPr>
                <w:rFonts w:hint="eastAsia"/>
                <w:sz w:val="21"/>
                <w:szCs w:val="21"/>
                <w:highlight w:val="none"/>
                <w:lang w:val="en-US" w:eastAsia="zh-CN"/>
              </w:rPr>
              <w:t>/</w:t>
            </w:r>
          </w:p>
        </w:tc>
        <w:tc>
          <w:tcPr>
            <w:tcW w:w="1997" w:type="dxa"/>
            <w:vAlign w:val="center"/>
          </w:tcPr>
          <w:p w14:paraId="4661F045">
            <w:pPr>
              <w:pStyle w:val="22"/>
              <w:keepNext w:val="0"/>
              <w:keepLines w:val="0"/>
              <w:pageBreakBefore w:val="0"/>
              <w:widowControl w:val="0"/>
              <w:kinsoku/>
              <w:wordWrap/>
              <w:overflowPunct/>
              <w:topLinePunct w:val="0"/>
              <w:autoSpaceDE w:val="0"/>
              <w:autoSpaceDN w:val="0"/>
              <w:bidi w:val="0"/>
              <w:snapToGrid/>
              <w:spacing w:before="2" w:line="240" w:lineRule="auto"/>
              <w:ind w:left="0" w:right="0" w:firstLine="420" w:firstLineChars="200"/>
              <w:jc w:val="left"/>
              <w:textAlignment w:val="auto"/>
              <w:rPr>
                <w:sz w:val="21"/>
                <w:szCs w:val="21"/>
                <w:highlight w:val="none"/>
              </w:rPr>
            </w:pPr>
            <w:r>
              <w:rPr>
                <w:sz w:val="21"/>
                <w:szCs w:val="21"/>
                <w:highlight w:val="none"/>
              </w:rPr>
              <w:t>根据现场踏勘，</w:t>
            </w:r>
            <w:r>
              <w:rPr>
                <w:spacing w:val="-3"/>
                <w:sz w:val="21"/>
                <w:szCs w:val="21"/>
                <w:highlight w:val="none"/>
              </w:rPr>
              <w:t>项目所在地</w:t>
            </w:r>
            <w:r>
              <w:rPr>
                <w:rFonts w:hint="eastAsia"/>
                <w:spacing w:val="-3"/>
                <w:sz w:val="21"/>
                <w:szCs w:val="21"/>
                <w:highlight w:val="none"/>
                <w:lang w:val="en-US" w:eastAsia="zh-CN"/>
              </w:rPr>
              <w:t>鱼塘和塘基</w:t>
            </w:r>
            <w:r>
              <w:rPr>
                <w:spacing w:val="-3"/>
                <w:sz w:val="21"/>
                <w:szCs w:val="21"/>
                <w:highlight w:val="none"/>
              </w:rPr>
              <w:t>，对土地</w:t>
            </w:r>
            <w:r>
              <w:rPr>
                <w:sz w:val="21"/>
                <w:szCs w:val="21"/>
                <w:highlight w:val="none"/>
              </w:rPr>
              <w:t>进行了恢复，主要以灌木、杂草为主，该项目的运行对生态环境的影响较小。</w:t>
            </w:r>
          </w:p>
        </w:tc>
      </w:tr>
      <w:tr w14:paraId="1FF8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0" w:type="dxa"/>
            <w:vMerge w:val="continue"/>
            <w:vAlign w:val="center"/>
          </w:tcPr>
          <w:p w14:paraId="1848C7DF">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p>
        </w:tc>
        <w:tc>
          <w:tcPr>
            <w:tcW w:w="579" w:type="dxa"/>
            <w:vAlign w:val="center"/>
          </w:tcPr>
          <w:p w14:paraId="5BC03F7B">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sz w:val="21"/>
                <w:szCs w:val="21"/>
                <w:highlight w:val="none"/>
              </w:rPr>
            </w:pPr>
            <w:r>
              <w:rPr>
                <w:sz w:val="21"/>
                <w:szCs w:val="21"/>
                <w:highlight w:val="none"/>
              </w:rPr>
              <w:t>废气</w:t>
            </w:r>
          </w:p>
        </w:tc>
        <w:tc>
          <w:tcPr>
            <w:tcW w:w="4219" w:type="dxa"/>
            <w:vAlign w:val="center"/>
          </w:tcPr>
          <w:p w14:paraId="25DB0FF4">
            <w:pPr>
              <w:pStyle w:val="22"/>
              <w:keepNext w:val="0"/>
              <w:keepLines w:val="0"/>
              <w:pageBreakBefore w:val="0"/>
              <w:widowControl w:val="0"/>
              <w:kinsoku/>
              <w:wordWrap/>
              <w:overflowPunct/>
              <w:topLinePunct w:val="0"/>
              <w:autoSpaceDE w:val="0"/>
              <w:autoSpaceDN w:val="0"/>
              <w:bidi w:val="0"/>
              <w:snapToGrid/>
              <w:spacing w:before="1" w:line="240" w:lineRule="auto"/>
              <w:ind w:left="0" w:right="0" w:firstLine="420" w:firstLineChars="200"/>
              <w:jc w:val="left"/>
              <w:textAlignment w:val="auto"/>
              <w:rPr>
                <w:rFonts w:hint="eastAsia" w:eastAsia="宋体"/>
                <w:sz w:val="21"/>
                <w:szCs w:val="21"/>
                <w:highlight w:val="none"/>
                <w:lang w:val="en-US" w:eastAsia="zh-CN"/>
              </w:rPr>
            </w:pPr>
            <w:r>
              <w:rPr>
                <w:rFonts w:hint="eastAsia"/>
                <w:sz w:val="21"/>
                <w:szCs w:val="21"/>
                <w:highlight w:val="none"/>
                <w:lang w:val="en-US" w:eastAsia="zh-CN"/>
              </w:rPr>
              <w:t>/</w:t>
            </w:r>
          </w:p>
        </w:tc>
        <w:tc>
          <w:tcPr>
            <w:tcW w:w="1183" w:type="dxa"/>
            <w:shd w:val="clear" w:color="auto" w:fill="auto"/>
            <w:vAlign w:val="center"/>
          </w:tcPr>
          <w:p w14:paraId="141E5AB6">
            <w:pPr>
              <w:pStyle w:val="22"/>
              <w:keepNext w:val="0"/>
              <w:keepLines w:val="0"/>
              <w:pageBreakBefore w:val="0"/>
              <w:widowControl w:val="0"/>
              <w:kinsoku/>
              <w:wordWrap/>
              <w:overflowPunct/>
              <w:topLinePunct w:val="0"/>
              <w:autoSpaceDE w:val="0"/>
              <w:autoSpaceDN w:val="0"/>
              <w:bidi w:val="0"/>
              <w:snapToGrid/>
              <w:spacing w:line="240" w:lineRule="auto"/>
              <w:ind w:left="0" w:leftChars="0" w:right="0" w:rightChars="0" w:firstLine="422" w:firstLineChars="200"/>
              <w:jc w:val="left"/>
              <w:textAlignment w:val="auto"/>
              <w:rPr>
                <w:rFonts w:ascii="宋体" w:hAnsi="宋体" w:eastAsia="宋体" w:cs="宋体"/>
                <w:sz w:val="21"/>
                <w:szCs w:val="21"/>
                <w:highlight w:val="none"/>
                <w:lang w:val="en-US" w:eastAsia="en-US" w:bidi="ar-SA"/>
              </w:rPr>
            </w:pPr>
            <w:r>
              <w:rPr>
                <w:rFonts w:hint="eastAsia"/>
                <w:b/>
                <w:sz w:val="21"/>
                <w:szCs w:val="21"/>
                <w:highlight w:val="none"/>
                <w:lang w:val="en-US" w:eastAsia="zh-CN"/>
              </w:rPr>
              <w:t>/</w:t>
            </w:r>
          </w:p>
        </w:tc>
        <w:tc>
          <w:tcPr>
            <w:tcW w:w="1997" w:type="dxa"/>
            <w:shd w:val="clear" w:color="auto" w:fill="auto"/>
            <w:vAlign w:val="center"/>
          </w:tcPr>
          <w:p w14:paraId="20070084">
            <w:pPr>
              <w:pStyle w:val="22"/>
              <w:keepNext w:val="0"/>
              <w:keepLines w:val="0"/>
              <w:pageBreakBefore w:val="0"/>
              <w:widowControl w:val="0"/>
              <w:kinsoku/>
              <w:wordWrap/>
              <w:overflowPunct/>
              <w:topLinePunct w:val="0"/>
              <w:autoSpaceDE w:val="0"/>
              <w:autoSpaceDN w:val="0"/>
              <w:bidi w:val="0"/>
              <w:snapToGrid/>
              <w:spacing w:before="172" w:line="240" w:lineRule="auto"/>
              <w:ind w:left="0" w:leftChars="0" w:right="0" w:rightChars="0" w:firstLine="420" w:firstLineChars="200"/>
              <w:jc w:val="left"/>
              <w:textAlignment w:val="auto"/>
              <w:rPr>
                <w:rFonts w:ascii="宋体" w:hAnsi="宋体" w:eastAsia="宋体" w:cs="宋体"/>
                <w:sz w:val="21"/>
                <w:szCs w:val="21"/>
                <w:highlight w:val="none"/>
                <w:lang w:val="en-US" w:eastAsia="en-US" w:bidi="ar-SA"/>
              </w:rPr>
            </w:pPr>
            <w:r>
              <w:rPr>
                <w:sz w:val="21"/>
                <w:szCs w:val="21"/>
                <w:highlight w:val="none"/>
              </w:rPr>
              <w:t>运营后，项目</w:t>
            </w:r>
            <w:r>
              <w:rPr>
                <w:rFonts w:hint="eastAsia"/>
                <w:sz w:val="21"/>
                <w:szCs w:val="21"/>
                <w:highlight w:val="none"/>
                <w:lang w:val="en-US" w:eastAsia="zh-CN"/>
              </w:rPr>
              <w:t>无</w:t>
            </w:r>
            <w:r>
              <w:rPr>
                <w:sz w:val="21"/>
                <w:szCs w:val="21"/>
                <w:highlight w:val="none"/>
              </w:rPr>
              <w:t>废气产生。</w:t>
            </w:r>
          </w:p>
        </w:tc>
      </w:tr>
      <w:tr w14:paraId="2F53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0" w:type="dxa"/>
            <w:vMerge w:val="continue"/>
            <w:vAlign w:val="center"/>
          </w:tcPr>
          <w:p w14:paraId="496B9851">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p>
        </w:tc>
        <w:tc>
          <w:tcPr>
            <w:tcW w:w="579" w:type="dxa"/>
            <w:vAlign w:val="center"/>
          </w:tcPr>
          <w:p w14:paraId="16F925A3">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sz w:val="21"/>
                <w:szCs w:val="21"/>
                <w:highlight w:val="none"/>
              </w:rPr>
            </w:pPr>
            <w:r>
              <w:rPr>
                <w:sz w:val="21"/>
                <w:szCs w:val="21"/>
                <w:highlight w:val="none"/>
              </w:rPr>
              <w:t>废水</w:t>
            </w:r>
          </w:p>
        </w:tc>
        <w:tc>
          <w:tcPr>
            <w:tcW w:w="4219" w:type="dxa"/>
            <w:vAlign w:val="center"/>
          </w:tcPr>
          <w:p w14:paraId="38A45724">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60" w:firstLineChars="200"/>
              <w:jc w:val="left"/>
              <w:textAlignment w:val="auto"/>
              <w:rPr>
                <w:bCs/>
                <w:spacing w:val="10"/>
                <w:sz w:val="21"/>
                <w:szCs w:val="21"/>
                <w:highlight w:val="none"/>
              </w:rPr>
            </w:pPr>
            <w:r>
              <w:rPr>
                <w:rFonts w:hAnsi="宋体"/>
                <w:bCs/>
                <w:spacing w:val="10"/>
                <w:sz w:val="21"/>
                <w:szCs w:val="21"/>
                <w:highlight w:val="none"/>
              </w:rPr>
              <w:t>光伏场区内不设办公场所，员工通过远程操控进行项目运营，必要时到场进行检修和维护，因此，项目运营期无生活污水产生，项目营运期间产生的主要废水为光伏组件的清洗废水。</w:t>
            </w:r>
          </w:p>
          <w:p w14:paraId="231E12D7">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60" w:firstLineChars="200"/>
              <w:jc w:val="left"/>
              <w:textAlignment w:val="auto"/>
              <w:rPr>
                <w:sz w:val="21"/>
                <w:szCs w:val="21"/>
                <w:highlight w:val="none"/>
              </w:rPr>
            </w:pPr>
            <w:r>
              <w:rPr>
                <w:rFonts w:hAnsi="宋体"/>
                <w:bCs/>
                <w:spacing w:val="10"/>
                <w:sz w:val="21"/>
                <w:szCs w:val="21"/>
                <w:highlight w:val="none"/>
              </w:rPr>
              <w:t>光电池组件清洁废水主要污染物为</w:t>
            </w:r>
            <w:r>
              <w:rPr>
                <w:bCs/>
                <w:spacing w:val="10"/>
                <w:sz w:val="21"/>
                <w:szCs w:val="21"/>
                <w:highlight w:val="none"/>
              </w:rPr>
              <w:t>SS</w:t>
            </w:r>
            <w:r>
              <w:rPr>
                <w:rFonts w:hAnsi="宋体"/>
                <w:bCs/>
                <w:spacing w:val="10"/>
                <w:sz w:val="21"/>
                <w:szCs w:val="21"/>
                <w:highlight w:val="none"/>
              </w:rPr>
              <w:t>，来源于大气降尘、鸟粪等。由于鱼塘水面上架设光伏组件，导致原本应降落在鱼塘水面的大气降尘、鸟粪落于光伏组件表面，光伏组件清洗从而使该部分污染物重新落入鱼塘中，因此原则不会增加鱼塘内污染物的浓度。根据已建成的渔光互补光伏电站的经验，该部分水可直接排放鱼塘，不会对鱼类的养殖产生不利影响。</w:t>
            </w:r>
          </w:p>
        </w:tc>
        <w:tc>
          <w:tcPr>
            <w:tcW w:w="1183" w:type="dxa"/>
            <w:shd w:val="clear" w:color="auto" w:fill="auto"/>
            <w:vAlign w:val="center"/>
          </w:tcPr>
          <w:p w14:paraId="3BB2019D">
            <w:pPr>
              <w:pStyle w:val="22"/>
              <w:keepNext w:val="0"/>
              <w:keepLines w:val="0"/>
              <w:pageBreakBefore w:val="0"/>
              <w:widowControl w:val="0"/>
              <w:kinsoku/>
              <w:wordWrap/>
              <w:overflowPunct/>
              <w:topLinePunct w:val="0"/>
              <w:autoSpaceDE w:val="0"/>
              <w:autoSpaceDN w:val="0"/>
              <w:bidi w:val="0"/>
              <w:snapToGrid/>
              <w:spacing w:line="240" w:lineRule="auto"/>
              <w:ind w:left="0" w:leftChars="0" w:right="0" w:rightChars="0" w:firstLine="420" w:firstLineChars="200"/>
              <w:jc w:val="left"/>
              <w:textAlignment w:val="auto"/>
              <w:rPr>
                <w:rFonts w:ascii="宋体" w:hAnsi="宋体" w:eastAsia="宋体" w:cs="宋体"/>
                <w:sz w:val="21"/>
                <w:szCs w:val="21"/>
                <w:highlight w:val="none"/>
                <w:lang w:val="en-US" w:eastAsia="en-US" w:bidi="ar-SA"/>
              </w:rPr>
            </w:pPr>
            <w:r>
              <w:rPr>
                <w:sz w:val="21"/>
                <w:szCs w:val="21"/>
                <w:highlight w:val="none"/>
              </w:rPr>
              <w:t>已落实</w:t>
            </w:r>
          </w:p>
        </w:tc>
        <w:tc>
          <w:tcPr>
            <w:tcW w:w="1997" w:type="dxa"/>
            <w:shd w:val="clear" w:color="auto" w:fill="auto"/>
            <w:vAlign w:val="center"/>
          </w:tcPr>
          <w:p w14:paraId="526B6C94">
            <w:pPr>
              <w:pStyle w:val="22"/>
              <w:keepNext w:val="0"/>
              <w:keepLines w:val="0"/>
              <w:pageBreakBefore w:val="0"/>
              <w:widowControl w:val="0"/>
              <w:kinsoku/>
              <w:wordWrap/>
              <w:overflowPunct/>
              <w:topLinePunct w:val="0"/>
              <w:autoSpaceDE w:val="0"/>
              <w:autoSpaceDN w:val="0"/>
              <w:bidi w:val="0"/>
              <w:snapToGrid/>
              <w:spacing w:before="4" w:line="240" w:lineRule="auto"/>
              <w:ind w:left="0" w:leftChars="0" w:right="0" w:rightChars="0" w:firstLine="412" w:firstLineChars="200"/>
              <w:jc w:val="left"/>
              <w:textAlignment w:val="auto"/>
              <w:rPr>
                <w:rFonts w:ascii="宋体" w:hAnsi="宋体" w:eastAsia="宋体" w:cs="宋体"/>
                <w:sz w:val="21"/>
                <w:szCs w:val="21"/>
                <w:highlight w:val="none"/>
                <w:lang w:val="en-US" w:eastAsia="en-US" w:bidi="ar-SA"/>
              </w:rPr>
            </w:pPr>
            <w:r>
              <w:rPr>
                <w:spacing w:val="-2"/>
                <w:sz w:val="21"/>
                <w:szCs w:val="21"/>
                <w:highlight w:val="none"/>
              </w:rPr>
              <w:t>根据现场踏勘，</w:t>
            </w:r>
            <w:r>
              <w:rPr>
                <w:rFonts w:hAnsi="宋体"/>
                <w:bCs/>
                <w:spacing w:val="10"/>
                <w:sz w:val="21"/>
                <w:szCs w:val="21"/>
                <w:highlight w:val="none"/>
              </w:rPr>
              <w:t>光伏场区内不设办公场所</w:t>
            </w:r>
            <w:r>
              <w:rPr>
                <w:rFonts w:hint="eastAsia" w:hAnsi="宋体"/>
                <w:bCs/>
                <w:spacing w:val="10"/>
                <w:sz w:val="21"/>
                <w:szCs w:val="21"/>
                <w:highlight w:val="none"/>
                <w:lang w:eastAsia="zh-CN"/>
              </w:rPr>
              <w:t>，</w:t>
            </w:r>
            <w:r>
              <w:rPr>
                <w:rFonts w:hint="eastAsia" w:hAnsi="宋体"/>
                <w:bCs/>
                <w:spacing w:val="10"/>
                <w:sz w:val="21"/>
                <w:szCs w:val="21"/>
                <w:highlight w:val="none"/>
                <w:lang w:val="en-US" w:eastAsia="zh-CN"/>
              </w:rPr>
              <w:t>无生活污水产生</w:t>
            </w:r>
            <w:r>
              <w:rPr>
                <w:spacing w:val="-2"/>
                <w:sz w:val="21"/>
                <w:szCs w:val="21"/>
                <w:highlight w:val="none"/>
              </w:rPr>
              <w:t>，太阳能电池组件的</w:t>
            </w:r>
            <w:r>
              <w:rPr>
                <w:spacing w:val="-3"/>
                <w:sz w:val="21"/>
                <w:szCs w:val="21"/>
                <w:highlight w:val="none"/>
              </w:rPr>
              <w:t>清洗废水</w:t>
            </w:r>
            <w:r>
              <w:rPr>
                <w:rFonts w:hint="eastAsia"/>
                <w:spacing w:val="-3"/>
                <w:sz w:val="21"/>
                <w:szCs w:val="21"/>
                <w:highlight w:val="none"/>
                <w:lang w:val="en-US" w:eastAsia="zh-CN"/>
              </w:rPr>
              <w:t>排入鱼塘作为补充水</w:t>
            </w:r>
            <w:r>
              <w:rPr>
                <w:spacing w:val="-7"/>
                <w:sz w:val="21"/>
                <w:szCs w:val="21"/>
                <w:highlight w:val="none"/>
              </w:rPr>
              <w:t>。</w:t>
            </w:r>
          </w:p>
        </w:tc>
      </w:tr>
      <w:tr w14:paraId="7FBE1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0" w:type="dxa"/>
            <w:vMerge w:val="continue"/>
            <w:vAlign w:val="center"/>
          </w:tcPr>
          <w:p w14:paraId="23A14CBD">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p>
        </w:tc>
        <w:tc>
          <w:tcPr>
            <w:tcW w:w="579" w:type="dxa"/>
            <w:vAlign w:val="center"/>
          </w:tcPr>
          <w:p w14:paraId="433AE1F0">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sz w:val="21"/>
                <w:szCs w:val="21"/>
                <w:highlight w:val="none"/>
              </w:rPr>
            </w:pPr>
            <w:r>
              <w:rPr>
                <w:sz w:val="21"/>
                <w:szCs w:val="21"/>
                <w:highlight w:val="none"/>
              </w:rPr>
              <w:t>噪声</w:t>
            </w:r>
          </w:p>
        </w:tc>
        <w:tc>
          <w:tcPr>
            <w:tcW w:w="4219" w:type="dxa"/>
            <w:vAlign w:val="center"/>
          </w:tcPr>
          <w:p w14:paraId="6F7F3CAC">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60" w:firstLineChars="200"/>
              <w:jc w:val="left"/>
              <w:textAlignment w:val="auto"/>
              <w:rPr>
                <w:sz w:val="21"/>
                <w:szCs w:val="21"/>
                <w:highlight w:val="none"/>
              </w:rPr>
            </w:pPr>
            <w:r>
              <w:rPr>
                <w:rFonts w:hAnsi="宋体"/>
                <w:bCs/>
                <w:spacing w:val="10"/>
                <w:sz w:val="21"/>
                <w:szCs w:val="21"/>
                <w:highlight w:val="none"/>
              </w:rPr>
              <w:t>项目运营期噪声主要源自逆变器产生的电流声，此噪声源强较小，根据预测，不采取任何防护措施的情况下，通过举例衰减，场地边界噪声可达到《工业企业厂界环境噪声排放标准》（</w:t>
            </w:r>
            <w:r>
              <w:rPr>
                <w:bCs/>
                <w:spacing w:val="10"/>
                <w:sz w:val="21"/>
                <w:szCs w:val="21"/>
                <w:highlight w:val="none"/>
              </w:rPr>
              <w:t>GB12348-2008</w:t>
            </w:r>
            <w:r>
              <w:rPr>
                <w:rFonts w:hAnsi="宋体"/>
                <w:bCs/>
                <w:spacing w:val="10"/>
                <w:sz w:val="21"/>
                <w:szCs w:val="21"/>
                <w:highlight w:val="none"/>
              </w:rPr>
              <w:t>）中的</w:t>
            </w:r>
            <w:r>
              <w:rPr>
                <w:bCs/>
                <w:spacing w:val="10"/>
                <w:sz w:val="21"/>
                <w:szCs w:val="21"/>
                <w:highlight w:val="none"/>
              </w:rPr>
              <w:t>2</w:t>
            </w:r>
            <w:r>
              <w:rPr>
                <w:rFonts w:hAnsi="宋体"/>
                <w:bCs/>
                <w:spacing w:val="10"/>
                <w:sz w:val="21"/>
                <w:szCs w:val="21"/>
                <w:highlight w:val="none"/>
              </w:rPr>
              <w:t>类标准要求，对周边环境影响不大。</w:t>
            </w:r>
          </w:p>
        </w:tc>
        <w:tc>
          <w:tcPr>
            <w:tcW w:w="1183" w:type="dxa"/>
            <w:shd w:val="clear" w:color="auto" w:fill="auto"/>
            <w:vAlign w:val="center"/>
          </w:tcPr>
          <w:p w14:paraId="6C3CFC9B">
            <w:pPr>
              <w:pStyle w:val="22"/>
              <w:keepNext w:val="0"/>
              <w:keepLines w:val="0"/>
              <w:pageBreakBefore w:val="0"/>
              <w:widowControl w:val="0"/>
              <w:kinsoku/>
              <w:wordWrap/>
              <w:overflowPunct/>
              <w:topLinePunct w:val="0"/>
              <w:autoSpaceDE w:val="0"/>
              <w:autoSpaceDN w:val="0"/>
              <w:bidi w:val="0"/>
              <w:snapToGrid/>
              <w:spacing w:before="164" w:line="240" w:lineRule="auto"/>
              <w:ind w:left="0" w:leftChars="0" w:right="0" w:rightChars="0" w:firstLine="420" w:firstLineChars="200"/>
              <w:jc w:val="left"/>
              <w:textAlignment w:val="auto"/>
              <w:rPr>
                <w:rFonts w:ascii="宋体" w:hAnsi="宋体" w:eastAsia="宋体" w:cs="宋体"/>
                <w:sz w:val="21"/>
                <w:szCs w:val="21"/>
                <w:highlight w:val="none"/>
                <w:lang w:val="en-US" w:eastAsia="en-US" w:bidi="ar-SA"/>
              </w:rPr>
            </w:pPr>
            <w:r>
              <w:rPr>
                <w:sz w:val="21"/>
                <w:szCs w:val="21"/>
                <w:highlight w:val="none"/>
              </w:rPr>
              <w:t>已落实</w:t>
            </w:r>
          </w:p>
        </w:tc>
        <w:tc>
          <w:tcPr>
            <w:tcW w:w="1997" w:type="dxa"/>
            <w:shd w:val="clear" w:color="auto" w:fill="auto"/>
            <w:vAlign w:val="center"/>
          </w:tcPr>
          <w:p w14:paraId="738B9275">
            <w:pPr>
              <w:pStyle w:val="22"/>
              <w:keepNext w:val="0"/>
              <w:keepLines w:val="0"/>
              <w:pageBreakBefore w:val="0"/>
              <w:widowControl w:val="0"/>
              <w:kinsoku/>
              <w:wordWrap/>
              <w:overflowPunct/>
              <w:topLinePunct w:val="0"/>
              <w:autoSpaceDE w:val="0"/>
              <w:autoSpaceDN w:val="0"/>
              <w:bidi w:val="0"/>
              <w:snapToGrid/>
              <w:spacing w:before="1" w:line="240" w:lineRule="auto"/>
              <w:ind w:left="0" w:right="0" w:firstLine="420" w:firstLineChars="200"/>
              <w:jc w:val="left"/>
              <w:textAlignment w:val="auto"/>
              <w:rPr>
                <w:rFonts w:ascii="宋体" w:hAnsi="宋体" w:eastAsia="宋体" w:cs="宋体"/>
                <w:sz w:val="21"/>
                <w:szCs w:val="21"/>
                <w:highlight w:val="none"/>
                <w:lang w:val="en-US" w:eastAsia="en-US" w:bidi="ar-SA"/>
              </w:rPr>
            </w:pPr>
            <w:r>
              <w:rPr>
                <w:sz w:val="21"/>
                <w:szCs w:val="21"/>
                <w:highlight w:val="none"/>
              </w:rPr>
              <w:t>根据现场踏勘，光伏电站逆变</w:t>
            </w:r>
            <w:r>
              <w:rPr>
                <w:spacing w:val="-3"/>
                <w:sz w:val="21"/>
                <w:szCs w:val="21"/>
                <w:highlight w:val="none"/>
              </w:rPr>
              <w:t>器、升压单元等</w:t>
            </w:r>
            <w:r>
              <w:rPr>
                <w:sz w:val="21"/>
                <w:szCs w:val="21"/>
                <w:highlight w:val="none"/>
              </w:rPr>
              <w:t>机械噪声经距离衰减</w:t>
            </w:r>
            <w:r>
              <w:rPr>
                <w:rFonts w:hint="eastAsia"/>
                <w:sz w:val="21"/>
                <w:szCs w:val="21"/>
                <w:highlight w:val="none"/>
                <w:lang w:eastAsia="zh-CN"/>
              </w:rPr>
              <w:t>，</w:t>
            </w:r>
            <w:r>
              <w:rPr>
                <w:rFonts w:hint="eastAsia"/>
                <w:sz w:val="21"/>
                <w:szCs w:val="21"/>
                <w:highlight w:val="none"/>
                <w:lang w:val="en-US" w:eastAsia="zh-CN"/>
              </w:rPr>
              <w:t>对周边环境影响不大</w:t>
            </w:r>
            <w:r>
              <w:rPr>
                <w:sz w:val="21"/>
                <w:szCs w:val="21"/>
                <w:highlight w:val="none"/>
              </w:rPr>
              <w:t>。</w:t>
            </w:r>
          </w:p>
        </w:tc>
      </w:tr>
      <w:tr w14:paraId="7FDA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40" w:type="dxa"/>
            <w:vMerge w:val="continue"/>
            <w:vAlign w:val="center"/>
          </w:tcPr>
          <w:p w14:paraId="23214851">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p>
        </w:tc>
        <w:tc>
          <w:tcPr>
            <w:tcW w:w="579" w:type="dxa"/>
            <w:vAlign w:val="center"/>
          </w:tcPr>
          <w:p w14:paraId="69A3C1D3">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sz w:val="21"/>
                <w:szCs w:val="21"/>
                <w:highlight w:val="none"/>
              </w:rPr>
            </w:pPr>
            <w:r>
              <w:rPr>
                <w:sz w:val="21"/>
                <w:szCs w:val="21"/>
                <w:highlight w:val="none"/>
              </w:rPr>
              <w:t>固废</w:t>
            </w:r>
          </w:p>
        </w:tc>
        <w:tc>
          <w:tcPr>
            <w:tcW w:w="4219" w:type="dxa"/>
            <w:vAlign w:val="center"/>
          </w:tcPr>
          <w:p w14:paraId="29B77567">
            <w:pPr>
              <w:pStyle w:val="22"/>
              <w:keepNext w:val="0"/>
              <w:keepLines w:val="0"/>
              <w:pageBreakBefore w:val="0"/>
              <w:widowControl w:val="0"/>
              <w:kinsoku/>
              <w:wordWrap/>
              <w:overflowPunct/>
              <w:topLinePunct w:val="0"/>
              <w:autoSpaceDE w:val="0"/>
              <w:autoSpaceDN w:val="0"/>
              <w:bidi w:val="0"/>
              <w:snapToGrid/>
              <w:spacing w:before="1" w:line="240" w:lineRule="auto"/>
              <w:ind w:left="0" w:right="0" w:firstLine="460" w:firstLineChars="200"/>
              <w:jc w:val="left"/>
              <w:textAlignment w:val="auto"/>
              <w:rPr>
                <w:sz w:val="21"/>
                <w:szCs w:val="21"/>
                <w:highlight w:val="none"/>
              </w:rPr>
            </w:pPr>
            <w:r>
              <w:rPr>
                <w:rFonts w:hAnsi="宋体"/>
                <w:bCs/>
                <w:spacing w:val="10"/>
                <w:sz w:val="21"/>
                <w:szCs w:val="21"/>
                <w:highlight w:val="none"/>
              </w:rPr>
              <w:t>项目光伏系统使用寿命</w:t>
            </w:r>
            <w:r>
              <w:rPr>
                <w:bCs/>
                <w:spacing w:val="10"/>
                <w:sz w:val="21"/>
                <w:szCs w:val="21"/>
                <w:highlight w:val="none"/>
              </w:rPr>
              <w:t>25</w:t>
            </w:r>
            <w:r>
              <w:rPr>
                <w:rFonts w:hAnsi="宋体"/>
                <w:bCs/>
                <w:spacing w:val="10"/>
                <w:sz w:val="21"/>
                <w:szCs w:val="21"/>
                <w:highlight w:val="none"/>
              </w:rPr>
              <w:t>年，其中组件寿命</w:t>
            </w:r>
            <w:r>
              <w:rPr>
                <w:bCs/>
                <w:spacing w:val="10"/>
                <w:sz w:val="21"/>
                <w:szCs w:val="21"/>
                <w:highlight w:val="none"/>
              </w:rPr>
              <w:t>25</w:t>
            </w:r>
            <w:r>
              <w:rPr>
                <w:rFonts w:hAnsi="宋体"/>
                <w:bCs/>
                <w:spacing w:val="10"/>
                <w:sz w:val="21"/>
                <w:szCs w:val="21"/>
                <w:highlight w:val="none"/>
              </w:rPr>
              <w:t>年，逆变器寿命</w:t>
            </w:r>
            <w:r>
              <w:rPr>
                <w:bCs/>
                <w:spacing w:val="10"/>
                <w:sz w:val="21"/>
                <w:szCs w:val="21"/>
                <w:highlight w:val="none"/>
              </w:rPr>
              <w:t>25</w:t>
            </w:r>
            <w:r>
              <w:rPr>
                <w:rFonts w:hAnsi="宋体"/>
                <w:bCs/>
                <w:spacing w:val="10"/>
                <w:sz w:val="21"/>
                <w:szCs w:val="21"/>
                <w:highlight w:val="none"/>
              </w:rPr>
              <w:t>年，电缆使用寿命大于</w:t>
            </w:r>
            <w:r>
              <w:rPr>
                <w:bCs/>
                <w:spacing w:val="10"/>
                <w:sz w:val="21"/>
                <w:szCs w:val="21"/>
                <w:highlight w:val="none"/>
              </w:rPr>
              <w:t>20</w:t>
            </w:r>
            <w:r>
              <w:rPr>
                <w:rFonts w:hAnsi="宋体"/>
                <w:bCs/>
                <w:spacing w:val="10"/>
                <w:sz w:val="21"/>
                <w:szCs w:val="21"/>
                <w:highlight w:val="none"/>
              </w:rPr>
              <w:t>年，除人为破坏外基本无损坏，为保障太阳能发电站的稳定性，设备厂家对其进行定期检测，对于损坏更换的电池组件以及光伏电池组件使用寿命到期后更换下来的电池组件，根据《国家危险废物名录》（</w:t>
            </w:r>
            <w:r>
              <w:rPr>
                <w:bCs/>
                <w:spacing w:val="10"/>
                <w:sz w:val="21"/>
                <w:szCs w:val="21"/>
                <w:highlight w:val="none"/>
              </w:rPr>
              <w:t>2021</w:t>
            </w:r>
            <w:r>
              <w:rPr>
                <w:rFonts w:hAnsi="宋体"/>
                <w:bCs/>
                <w:spacing w:val="10"/>
                <w:sz w:val="21"/>
                <w:szCs w:val="21"/>
                <w:highlight w:val="none"/>
              </w:rPr>
              <w:t>年版），拟建项目所用晶硅电池组件不属于危险废物，厂区内部均不设置临时储存点，直接由设备厂家回收。经妥善处置后，将不会对周边环境产生污染影响。</w:t>
            </w:r>
          </w:p>
        </w:tc>
        <w:tc>
          <w:tcPr>
            <w:tcW w:w="1183" w:type="dxa"/>
            <w:shd w:val="clear" w:color="auto" w:fill="auto"/>
            <w:vAlign w:val="center"/>
          </w:tcPr>
          <w:p w14:paraId="2F82D793">
            <w:pPr>
              <w:pStyle w:val="22"/>
              <w:keepNext w:val="0"/>
              <w:keepLines w:val="0"/>
              <w:pageBreakBefore w:val="0"/>
              <w:widowControl w:val="0"/>
              <w:kinsoku/>
              <w:wordWrap/>
              <w:overflowPunct/>
              <w:topLinePunct w:val="0"/>
              <w:autoSpaceDE w:val="0"/>
              <w:autoSpaceDN w:val="0"/>
              <w:bidi w:val="0"/>
              <w:snapToGrid/>
              <w:spacing w:before="172" w:line="240" w:lineRule="auto"/>
              <w:ind w:left="0" w:leftChars="0" w:right="0" w:rightChars="0" w:firstLine="420" w:firstLineChars="200"/>
              <w:jc w:val="left"/>
              <w:textAlignment w:val="auto"/>
              <w:rPr>
                <w:rFonts w:ascii="宋体" w:hAnsi="宋体" w:eastAsia="宋体" w:cs="宋体"/>
                <w:sz w:val="21"/>
                <w:szCs w:val="21"/>
                <w:highlight w:val="none"/>
                <w:lang w:val="en-US" w:eastAsia="en-US" w:bidi="ar-SA"/>
              </w:rPr>
            </w:pPr>
            <w:r>
              <w:rPr>
                <w:sz w:val="21"/>
                <w:szCs w:val="21"/>
                <w:highlight w:val="none"/>
              </w:rPr>
              <w:t>已落实</w:t>
            </w:r>
          </w:p>
        </w:tc>
        <w:tc>
          <w:tcPr>
            <w:tcW w:w="1997" w:type="dxa"/>
            <w:shd w:val="clear" w:color="auto" w:fill="auto"/>
            <w:vAlign w:val="center"/>
          </w:tcPr>
          <w:p w14:paraId="25E9B5A5">
            <w:pPr>
              <w:pStyle w:val="22"/>
              <w:keepNext w:val="0"/>
              <w:keepLines w:val="0"/>
              <w:pageBreakBefore w:val="0"/>
              <w:widowControl w:val="0"/>
              <w:kinsoku/>
              <w:wordWrap/>
              <w:overflowPunct/>
              <w:topLinePunct w:val="0"/>
              <w:autoSpaceDE w:val="0"/>
              <w:autoSpaceDN w:val="0"/>
              <w:bidi w:val="0"/>
              <w:snapToGrid/>
              <w:spacing w:before="4" w:line="240" w:lineRule="auto"/>
              <w:ind w:left="0" w:leftChars="0" w:right="0" w:rightChars="0" w:firstLine="420" w:firstLineChars="200"/>
              <w:jc w:val="left"/>
              <w:textAlignment w:val="auto"/>
              <w:rPr>
                <w:rFonts w:ascii="宋体" w:hAnsi="宋体" w:eastAsia="宋体" w:cs="宋体"/>
                <w:sz w:val="21"/>
                <w:szCs w:val="21"/>
                <w:highlight w:val="none"/>
                <w:lang w:val="en-US" w:eastAsia="en-US" w:bidi="ar-SA"/>
              </w:rPr>
            </w:pPr>
            <w:r>
              <w:rPr>
                <w:sz w:val="21"/>
                <w:szCs w:val="21"/>
                <w:highlight w:val="none"/>
              </w:rPr>
              <w:t>废太阳能电池组件收集后由光伏厂家回收利用</w:t>
            </w:r>
            <w:r>
              <w:rPr>
                <w:rFonts w:hint="eastAsia"/>
                <w:sz w:val="21"/>
                <w:szCs w:val="21"/>
                <w:highlight w:val="none"/>
                <w:lang w:eastAsia="zh-CN"/>
              </w:rPr>
              <w:t>，</w:t>
            </w:r>
            <w:r>
              <w:rPr>
                <w:rFonts w:hint="eastAsia"/>
                <w:sz w:val="21"/>
                <w:szCs w:val="21"/>
                <w:highlight w:val="none"/>
                <w:lang w:val="en-US" w:eastAsia="zh-CN"/>
              </w:rPr>
              <w:t>项目内不设暂存设置</w:t>
            </w:r>
            <w:r>
              <w:rPr>
                <w:sz w:val="21"/>
                <w:szCs w:val="21"/>
                <w:highlight w:val="none"/>
              </w:rPr>
              <w:t>。</w:t>
            </w:r>
          </w:p>
        </w:tc>
      </w:tr>
    </w:tbl>
    <w:p w14:paraId="787EF64F">
      <w:pPr>
        <w:spacing w:after="0" w:line="290" w:lineRule="exact"/>
        <w:rPr>
          <w:sz w:val="24"/>
          <w:highlight w:val="none"/>
        </w:rPr>
        <w:sectPr>
          <w:pgSz w:w="11910" w:h="16840"/>
          <w:pgMar w:top="1460" w:right="1440" w:bottom="1340" w:left="1580" w:header="0" w:footer="1160" w:gutter="0"/>
          <w:cols w:space="720" w:num="1"/>
        </w:sectPr>
      </w:pPr>
    </w:p>
    <w:p w14:paraId="66AAB6E4">
      <w:pPr>
        <w:pStyle w:val="2"/>
        <w:tabs>
          <w:tab w:val="left" w:pos="801"/>
        </w:tabs>
        <w:spacing w:before="147"/>
        <w:rPr>
          <w:highlight w:val="none"/>
        </w:rPr>
      </w:pPr>
      <w:r>
        <w:rPr>
          <w:highlight w:val="none"/>
        </w:rPr>
        <w:t>表</w:t>
      </w:r>
      <w:r>
        <w:rPr>
          <w:rFonts w:ascii="Times New Roman" w:eastAsia="Times New Roman"/>
          <w:highlight w:val="none"/>
        </w:rPr>
        <w:t>7</w:t>
      </w:r>
      <w:r>
        <w:rPr>
          <w:rFonts w:ascii="Times New Roman" w:eastAsia="Times New Roman"/>
          <w:highlight w:val="none"/>
        </w:rPr>
        <w:tab/>
      </w:r>
      <w:r>
        <w:rPr>
          <w:highlight w:val="none"/>
        </w:rPr>
        <w:t>环境影响调查</w:t>
      </w:r>
    </w:p>
    <w:p w14:paraId="274C6511">
      <w:pPr>
        <w:pStyle w:val="5"/>
        <w:spacing w:before="2"/>
        <w:rPr>
          <w:b/>
          <w:sz w:val="5"/>
          <w:highlight w:val="none"/>
        </w:rPr>
      </w:pPr>
    </w:p>
    <w:tbl>
      <w:tblPr>
        <w:tblStyle w:val="10"/>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8"/>
        <w:gridCol w:w="1191"/>
        <w:gridCol w:w="6672"/>
      </w:tblGrid>
      <w:tr w14:paraId="5D7B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58" w:type="dxa"/>
            <w:vMerge w:val="restart"/>
            <w:vAlign w:val="center"/>
          </w:tcPr>
          <w:p w14:paraId="01C3554D">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r>
              <w:rPr>
                <w:sz w:val="21"/>
                <w:szCs w:val="21"/>
                <w:highlight w:val="none"/>
              </w:rPr>
              <w:t>施工期</w:t>
            </w:r>
          </w:p>
        </w:tc>
        <w:tc>
          <w:tcPr>
            <w:tcW w:w="1191" w:type="dxa"/>
            <w:vAlign w:val="center"/>
          </w:tcPr>
          <w:p w14:paraId="25E23ACB">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r>
              <w:rPr>
                <w:sz w:val="21"/>
                <w:szCs w:val="21"/>
                <w:highlight w:val="none"/>
              </w:rPr>
              <w:t>生态影响</w:t>
            </w:r>
          </w:p>
        </w:tc>
        <w:tc>
          <w:tcPr>
            <w:tcW w:w="6672" w:type="dxa"/>
            <w:vAlign w:val="center"/>
          </w:tcPr>
          <w:p w14:paraId="0175FB4B">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left"/>
              <w:textAlignment w:val="auto"/>
              <w:rPr>
                <w:sz w:val="21"/>
                <w:szCs w:val="21"/>
                <w:highlight w:val="none"/>
              </w:rPr>
            </w:pPr>
            <w:r>
              <w:rPr>
                <w:spacing w:val="6"/>
                <w:sz w:val="21"/>
                <w:szCs w:val="21"/>
                <w:highlight w:val="none"/>
              </w:rPr>
              <w:t>本项目对区域的生态环境影响主要表现为施工期工程临</w:t>
            </w:r>
            <w:r>
              <w:rPr>
                <w:spacing w:val="-3"/>
                <w:sz w:val="21"/>
                <w:szCs w:val="21"/>
                <w:highlight w:val="none"/>
              </w:rPr>
              <w:t>时占地、光伏支架桩基基础钻挖，集电线路直埋施工、开关站</w:t>
            </w:r>
            <w:r>
              <w:rPr>
                <w:spacing w:val="-4"/>
                <w:sz w:val="21"/>
                <w:szCs w:val="21"/>
                <w:highlight w:val="none"/>
              </w:rPr>
              <w:t>等工程基础施工、场内道路的修建等工程，不仅需要动用土石方，而且有大量的施工机械及人员活动，其将</w:t>
            </w:r>
            <w:r>
              <w:rPr>
                <w:sz w:val="21"/>
                <w:szCs w:val="21"/>
                <w:highlight w:val="none"/>
              </w:rPr>
              <w:t>对原有生态系统造成一定程度的影响。</w:t>
            </w:r>
          </w:p>
          <w:p w14:paraId="6B4CDDD5">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sz w:val="21"/>
                <w:szCs w:val="21"/>
                <w:highlight w:val="none"/>
              </w:rPr>
            </w:pPr>
            <w:r>
              <w:rPr>
                <w:sz w:val="21"/>
                <w:szCs w:val="21"/>
                <w:highlight w:val="none"/>
              </w:rPr>
              <w:t>在施工过程中，施工人员对临时弃土用于场地平整。施工后及时清理了施工现场，使临时占地恢复原有土地功能。</w:t>
            </w:r>
          </w:p>
          <w:p w14:paraId="2AB5D66C">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sz w:val="21"/>
                <w:szCs w:val="21"/>
                <w:highlight w:val="none"/>
              </w:rPr>
            </w:pPr>
            <w:r>
              <w:rPr>
                <w:sz w:val="21"/>
                <w:szCs w:val="21"/>
                <w:highlight w:val="none"/>
              </w:rPr>
              <w:t>工程结束后，建设单位及时拆除了施工临时道路及其他临时设施，恢复了地表植被。</w:t>
            </w:r>
          </w:p>
          <w:p w14:paraId="326FDE45">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rFonts w:hint="eastAsia" w:eastAsia="宋体"/>
                <w:sz w:val="21"/>
                <w:szCs w:val="21"/>
                <w:highlight w:val="none"/>
                <w:lang w:eastAsia="zh-CN"/>
              </w:rPr>
            </w:pPr>
            <w:r>
              <w:rPr>
                <w:sz w:val="21"/>
                <w:szCs w:val="21"/>
                <w:highlight w:val="none"/>
              </w:rPr>
              <w:t>根据现场调查，本工程已全部施工完毕。该工程在施工时尽量缩小了施工范围，各种施工活动严格控制在施工区域内</w:t>
            </w:r>
            <w:r>
              <w:rPr>
                <w:rFonts w:hint="eastAsia"/>
                <w:sz w:val="21"/>
                <w:szCs w:val="21"/>
                <w:highlight w:val="none"/>
                <w:lang w:eastAsia="zh-CN"/>
              </w:rPr>
              <w:t>。</w:t>
            </w:r>
          </w:p>
          <w:p w14:paraId="06EEC2A2">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sz w:val="21"/>
                <w:szCs w:val="21"/>
                <w:highlight w:val="none"/>
              </w:rPr>
            </w:pPr>
            <w:r>
              <w:rPr>
                <w:sz w:val="21"/>
                <w:szCs w:val="21"/>
                <w:highlight w:val="none"/>
              </w:rPr>
              <w:t>在施工过程中尽量减少了对地表植被的破坏。</w:t>
            </w:r>
          </w:p>
        </w:tc>
      </w:tr>
      <w:tr w14:paraId="2118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58" w:type="dxa"/>
            <w:vMerge w:val="continue"/>
            <w:vAlign w:val="center"/>
          </w:tcPr>
          <w:p w14:paraId="79C75273">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p>
        </w:tc>
        <w:tc>
          <w:tcPr>
            <w:tcW w:w="1191" w:type="dxa"/>
            <w:vAlign w:val="center"/>
          </w:tcPr>
          <w:p w14:paraId="2CC074FE">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r>
              <w:rPr>
                <w:sz w:val="21"/>
                <w:szCs w:val="21"/>
                <w:highlight w:val="none"/>
              </w:rPr>
              <w:t>污染影响</w:t>
            </w:r>
          </w:p>
        </w:tc>
        <w:tc>
          <w:tcPr>
            <w:tcW w:w="6672" w:type="dxa"/>
            <w:vAlign w:val="center"/>
          </w:tcPr>
          <w:p w14:paraId="031D5CC1">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16" w:firstLineChars="200"/>
              <w:jc w:val="left"/>
              <w:textAlignment w:val="auto"/>
              <w:rPr>
                <w:sz w:val="21"/>
                <w:szCs w:val="21"/>
                <w:highlight w:val="none"/>
              </w:rPr>
            </w:pPr>
            <w:r>
              <w:rPr>
                <w:spacing w:val="-1"/>
                <w:sz w:val="21"/>
                <w:szCs w:val="21"/>
                <w:highlight w:val="none"/>
              </w:rPr>
              <w:t>施工期的污染影响主要是施工扬尘对环境空气的影响、施</w:t>
            </w:r>
            <w:r>
              <w:rPr>
                <w:spacing w:val="-4"/>
                <w:sz w:val="21"/>
                <w:szCs w:val="21"/>
                <w:highlight w:val="none"/>
              </w:rPr>
              <w:t>工噪声对声环境的影响，施工废水以及施工期建筑垃圾和生活</w:t>
            </w:r>
            <w:r>
              <w:rPr>
                <w:spacing w:val="-5"/>
                <w:sz w:val="21"/>
                <w:szCs w:val="21"/>
                <w:highlight w:val="none"/>
              </w:rPr>
              <w:t>垃圾对环境的影响。施工期对施工道路扬尘污染应洒水抑尘。</w:t>
            </w:r>
            <w:r>
              <w:rPr>
                <w:spacing w:val="-2"/>
                <w:sz w:val="21"/>
                <w:szCs w:val="21"/>
                <w:highlight w:val="none"/>
              </w:rPr>
              <w:t>施工期的机械噪声和交通运输噪声是短暂的，对周围的环境影</w:t>
            </w:r>
            <w:r>
              <w:rPr>
                <w:spacing w:val="-6"/>
                <w:sz w:val="21"/>
                <w:szCs w:val="21"/>
                <w:highlight w:val="none"/>
              </w:rPr>
              <w:t>响较小。项目区设立了沉淀池，施工废水收集沉淀后，用于场</w:t>
            </w:r>
            <w:r>
              <w:rPr>
                <w:spacing w:val="-8"/>
                <w:sz w:val="21"/>
                <w:szCs w:val="21"/>
                <w:highlight w:val="none"/>
              </w:rPr>
              <w:t>地泼洒降尘，职工盥洗废水直接用于场地泼洒抑尘。施工期建</w:t>
            </w:r>
            <w:r>
              <w:rPr>
                <w:spacing w:val="-10"/>
                <w:sz w:val="21"/>
                <w:szCs w:val="21"/>
                <w:highlight w:val="none"/>
              </w:rPr>
              <w:t>筑垃圾由汽车拉运市场外售，生活垃圾收集后运往生活垃圾填埋场处置，施工已完成。</w:t>
            </w:r>
          </w:p>
        </w:tc>
      </w:tr>
      <w:tr w14:paraId="50D3E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58" w:type="dxa"/>
            <w:vMerge w:val="continue"/>
            <w:vAlign w:val="center"/>
          </w:tcPr>
          <w:p w14:paraId="38EEFD15">
            <w:pPr>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p>
        </w:tc>
        <w:tc>
          <w:tcPr>
            <w:tcW w:w="1191" w:type="dxa"/>
            <w:vAlign w:val="center"/>
          </w:tcPr>
          <w:p w14:paraId="691928CB">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r>
              <w:rPr>
                <w:sz w:val="21"/>
                <w:szCs w:val="21"/>
                <w:highlight w:val="none"/>
              </w:rPr>
              <w:t>社会影响</w:t>
            </w:r>
          </w:p>
        </w:tc>
        <w:tc>
          <w:tcPr>
            <w:tcW w:w="6672" w:type="dxa"/>
            <w:vAlign w:val="center"/>
          </w:tcPr>
          <w:p w14:paraId="7C0A0402">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sz w:val="21"/>
                <w:szCs w:val="21"/>
                <w:highlight w:val="none"/>
              </w:rPr>
            </w:pPr>
            <w:r>
              <w:rPr>
                <w:sz w:val="21"/>
                <w:szCs w:val="21"/>
                <w:highlight w:val="none"/>
              </w:rPr>
              <w:t>工程区域不涉及具有保护价值的文物和遗迹。</w:t>
            </w:r>
          </w:p>
        </w:tc>
      </w:tr>
      <w:tr w14:paraId="71E7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58" w:type="dxa"/>
            <w:vMerge w:val="restart"/>
            <w:vAlign w:val="center"/>
          </w:tcPr>
          <w:p w14:paraId="279EE272">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r>
              <w:rPr>
                <w:sz w:val="21"/>
                <w:szCs w:val="21"/>
                <w:highlight w:val="none"/>
              </w:rPr>
              <w:t>运行期</w:t>
            </w:r>
          </w:p>
        </w:tc>
        <w:tc>
          <w:tcPr>
            <w:tcW w:w="1191" w:type="dxa"/>
            <w:vAlign w:val="center"/>
          </w:tcPr>
          <w:p w14:paraId="14A397E1">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r>
              <w:rPr>
                <w:sz w:val="21"/>
                <w:szCs w:val="21"/>
                <w:highlight w:val="none"/>
              </w:rPr>
              <w:t>生态影响</w:t>
            </w:r>
          </w:p>
        </w:tc>
        <w:tc>
          <w:tcPr>
            <w:tcW w:w="6672" w:type="dxa"/>
            <w:vAlign w:val="center"/>
          </w:tcPr>
          <w:p w14:paraId="5776432C">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368" w:firstLineChars="200"/>
              <w:jc w:val="left"/>
              <w:textAlignment w:val="auto"/>
              <w:rPr>
                <w:sz w:val="21"/>
                <w:szCs w:val="21"/>
                <w:highlight w:val="none"/>
              </w:rPr>
            </w:pPr>
            <w:r>
              <w:rPr>
                <w:spacing w:val="-13"/>
                <w:sz w:val="21"/>
                <w:szCs w:val="21"/>
                <w:highlight w:val="none"/>
              </w:rPr>
              <w:t>经现场调查，光伏区场地</w:t>
            </w:r>
            <w:r>
              <w:rPr>
                <w:spacing w:val="-11"/>
                <w:sz w:val="21"/>
                <w:szCs w:val="21"/>
                <w:highlight w:val="none"/>
              </w:rPr>
              <w:t>已恢复其原有土地类型。</w:t>
            </w:r>
            <w:r>
              <w:rPr>
                <w:spacing w:val="-9"/>
                <w:sz w:val="21"/>
                <w:szCs w:val="21"/>
                <w:highlight w:val="none"/>
              </w:rPr>
              <w:t>施工临时占地等已完成生态恢复，种植植被或自然恢复。</w:t>
            </w:r>
          </w:p>
        </w:tc>
      </w:tr>
      <w:tr w14:paraId="0FF9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58" w:type="dxa"/>
            <w:vMerge w:val="continue"/>
            <w:vAlign w:val="center"/>
          </w:tcPr>
          <w:p w14:paraId="0CED811E">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p>
        </w:tc>
        <w:tc>
          <w:tcPr>
            <w:tcW w:w="1191" w:type="dxa"/>
            <w:vAlign w:val="center"/>
          </w:tcPr>
          <w:p w14:paraId="6BAF5BEB">
            <w:pPr>
              <w:pStyle w:val="5"/>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r>
              <w:rPr>
                <w:sz w:val="21"/>
                <w:szCs w:val="21"/>
                <w:highlight w:val="none"/>
              </w:rPr>
              <w:t>污染</w:t>
            </w:r>
          </w:p>
          <w:p w14:paraId="7E3F021E">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r>
              <w:rPr>
                <w:position w:val="-9"/>
                <w:sz w:val="21"/>
                <w:szCs w:val="21"/>
                <w:highlight w:val="none"/>
              </w:rPr>
              <w:t>影响</w:t>
            </w:r>
          </w:p>
        </w:tc>
        <w:tc>
          <w:tcPr>
            <w:tcW w:w="6672" w:type="dxa"/>
            <w:vAlign w:val="center"/>
          </w:tcPr>
          <w:p w14:paraId="0FA6F707">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sz w:val="21"/>
                <w:szCs w:val="21"/>
                <w:highlight w:val="none"/>
              </w:rPr>
            </w:pPr>
            <w:r>
              <w:rPr>
                <w:rFonts w:ascii="Times New Roman" w:eastAsia="Times New Roman"/>
                <w:sz w:val="21"/>
                <w:szCs w:val="21"/>
                <w:highlight w:val="none"/>
              </w:rPr>
              <w:t>1</w:t>
            </w:r>
            <w:r>
              <w:rPr>
                <w:sz w:val="21"/>
                <w:szCs w:val="21"/>
                <w:highlight w:val="none"/>
              </w:rPr>
              <w:t>、环境空气影响</w:t>
            </w:r>
          </w:p>
          <w:p w14:paraId="5CDA025B">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376" w:firstLineChars="200"/>
              <w:jc w:val="left"/>
              <w:textAlignment w:val="auto"/>
              <w:rPr>
                <w:sz w:val="21"/>
                <w:szCs w:val="21"/>
                <w:highlight w:val="none"/>
              </w:rPr>
            </w:pPr>
            <w:r>
              <w:rPr>
                <w:rFonts w:hint="eastAsia"/>
                <w:spacing w:val="-11"/>
                <w:sz w:val="21"/>
                <w:szCs w:val="21"/>
                <w:highlight w:val="none"/>
              </w:rPr>
              <w:t>本项目营运期无生产性废气产生</w:t>
            </w:r>
            <w:r>
              <w:rPr>
                <w:spacing w:val="-11"/>
                <w:sz w:val="21"/>
                <w:szCs w:val="21"/>
                <w:highlight w:val="none"/>
              </w:rPr>
              <w:t>，</w:t>
            </w:r>
            <w:r>
              <w:rPr>
                <w:sz w:val="21"/>
                <w:szCs w:val="21"/>
                <w:highlight w:val="none"/>
              </w:rPr>
              <w:t>不会对大气环境产生影响。</w:t>
            </w:r>
          </w:p>
          <w:p w14:paraId="024AFA58">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sz w:val="21"/>
                <w:szCs w:val="21"/>
                <w:highlight w:val="none"/>
              </w:rPr>
            </w:pPr>
            <w:r>
              <w:rPr>
                <w:rFonts w:ascii="Times New Roman" w:eastAsia="Times New Roman"/>
                <w:sz w:val="21"/>
                <w:szCs w:val="21"/>
                <w:highlight w:val="none"/>
              </w:rPr>
              <w:t>2</w:t>
            </w:r>
            <w:r>
              <w:rPr>
                <w:sz w:val="21"/>
                <w:szCs w:val="21"/>
                <w:highlight w:val="none"/>
              </w:rPr>
              <w:t>、水环境影响</w:t>
            </w:r>
          </w:p>
          <w:p w14:paraId="40A6FA50">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388" w:firstLineChars="200"/>
              <w:jc w:val="left"/>
              <w:textAlignment w:val="auto"/>
              <w:rPr>
                <w:sz w:val="21"/>
                <w:szCs w:val="21"/>
                <w:highlight w:val="none"/>
              </w:rPr>
            </w:pPr>
            <w:r>
              <w:rPr>
                <w:spacing w:val="-8"/>
                <w:sz w:val="21"/>
                <w:szCs w:val="21"/>
                <w:highlight w:val="none"/>
              </w:rPr>
              <w:t>经现场调查，项目运营期产生的废水主要为</w:t>
            </w:r>
            <w:r>
              <w:rPr>
                <w:spacing w:val="-7"/>
                <w:sz w:val="21"/>
                <w:szCs w:val="21"/>
                <w:highlight w:val="none"/>
              </w:rPr>
              <w:t>光伏电池组件清洗废水</w:t>
            </w:r>
            <w:r>
              <w:rPr>
                <w:rFonts w:hint="eastAsia"/>
                <w:spacing w:val="-7"/>
                <w:sz w:val="21"/>
                <w:szCs w:val="21"/>
                <w:highlight w:val="none"/>
                <w:lang w:eastAsia="zh-CN"/>
              </w:rPr>
              <w:t>，</w:t>
            </w:r>
            <w:r>
              <w:rPr>
                <w:rFonts w:hint="eastAsia"/>
                <w:spacing w:val="-7"/>
                <w:sz w:val="21"/>
                <w:szCs w:val="21"/>
                <w:highlight w:val="none"/>
                <w:lang w:val="en-US" w:eastAsia="zh-CN"/>
              </w:rPr>
              <w:t>排入鱼塘作为补充水</w:t>
            </w:r>
            <w:r>
              <w:rPr>
                <w:spacing w:val="-7"/>
                <w:sz w:val="21"/>
                <w:szCs w:val="21"/>
                <w:highlight w:val="none"/>
              </w:rPr>
              <w:t>。</w:t>
            </w:r>
          </w:p>
          <w:p w14:paraId="34D0E6C0">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sz w:val="21"/>
                <w:szCs w:val="21"/>
                <w:highlight w:val="none"/>
              </w:rPr>
            </w:pPr>
            <w:r>
              <w:rPr>
                <w:rFonts w:ascii="Times New Roman" w:eastAsia="Times New Roman"/>
                <w:sz w:val="21"/>
                <w:szCs w:val="21"/>
                <w:highlight w:val="none"/>
              </w:rPr>
              <w:t>3</w:t>
            </w:r>
            <w:r>
              <w:rPr>
                <w:sz w:val="21"/>
                <w:szCs w:val="21"/>
                <w:highlight w:val="none"/>
              </w:rPr>
              <w:t>、声环境影响</w:t>
            </w:r>
          </w:p>
          <w:p w14:paraId="63C30417">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sz w:val="21"/>
                <w:szCs w:val="21"/>
                <w:highlight w:val="none"/>
              </w:rPr>
            </w:pPr>
            <w:r>
              <w:rPr>
                <w:sz w:val="21"/>
                <w:szCs w:val="21"/>
                <w:highlight w:val="none"/>
              </w:rPr>
              <w:t>经现场调查，运营期光伏组件在运行过程中基本不产生噪声污染</w:t>
            </w:r>
            <w:r>
              <w:rPr>
                <w:rFonts w:hint="eastAsia"/>
                <w:sz w:val="21"/>
                <w:szCs w:val="21"/>
                <w:highlight w:val="none"/>
                <w:lang w:val="en-US" w:eastAsia="zh-CN"/>
              </w:rPr>
              <w:t>影响</w:t>
            </w:r>
            <w:r>
              <w:rPr>
                <w:spacing w:val="-20"/>
                <w:sz w:val="21"/>
                <w:szCs w:val="21"/>
                <w:highlight w:val="none"/>
              </w:rPr>
              <w:t>，</w:t>
            </w:r>
            <w:r>
              <w:rPr>
                <w:sz w:val="21"/>
                <w:szCs w:val="21"/>
                <w:highlight w:val="none"/>
              </w:rPr>
              <w:t>声环境的影响主要来源于</w:t>
            </w:r>
            <w:r>
              <w:rPr>
                <w:rFonts w:hint="eastAsia"/>
                <w:sz w:val="21"/>
                <w:szCs w:val="21"/>
                <w:highlight w:val="none"/>
              </w:rPr>
              <w:t>箱逆变升压一体机</w:t>
            </w:r>
            <w:r>
              <w:rPr>
                <w:sz w:val="21"/>
                <w:szCs w:val="21"/>
                <w:highlight w:val="none"/>
              </w:rPr>
              <w:t>运转发出的电磁噪声。通过</w:t>
            </w:r>
            <w:r>
              <w:rPr>
                <w:spacing w:val="-14"/>
                <w:sz w:val="21"/>
                <w:szCs w:val="21"/>
                <w:highlight w:val="none"/>
              </w:rPr>
              <w:t>距离衰减后，能够满足《工业企业厂界环境噪声排放标准》</w:t>
            </w:r>
            <w:r>
              <w:rPr>
                <w:spacing w:val="-5"/>
                <w:sz w:val="21"/>
                <w:szCs w:val="21"/>
                <w:highlight w:val="none"/>
              </w:rPr>
              <w:t>（</w:t>
            </w:r>
            <w:r>
              <w:rPr>
                <w:rFonts w:ascii="Times New Roman" w:eastAsia="Times New Roman"/>
                <w:spacing w:val="-5"/>
                <w:sz w:val="21"/>
                <w:szCs w:val="21"/>
                <w:highlight w:val="none"/>
              </w:rPr>
              <w:t>GB12348</w:t>
            </w:r>
            <w:r>
              <w:rPr>
                <w:spacing w:val="-5"/>
                <w:sz w:val="21"/>
                <w:szCs w:val="21"/>
                <w:highlight w:val="none"/>
              </w:rPr>
              <w:t>－</w:t>
            </w:r>
            <w:r>
              <w:rPr>
                <w:rFonts w:ascii="Times New Roman" w:eastAsia="Times New Roman"/>
                <w:spacing w:val="-5"/>
                <w:sz w:val="21"/>
                <w:szCs w:val="21"/>
                <w:highlight w:val="none"/>
              </w:rPr>
              <w:t>2008</w:t>
            </w:r>
            <w:r>
              <w:rPr>
                <w:spacing w:val="-5"/>
                <w:sz w:val="21"/>
                <w:szCs w:val="21"/>
                <w:highlight w:val="none"/>
              </w:rPr>
              <w:t>）</w:t>
            </w:r>
            <w:r>
              <w:rPr>
                <w:sz w:val="21"/>
                <w:szCs w:val="21"/>
                <w:highlight w:val="none"/>
              </w:rPr>
              <w:t>中</w:t>
            </w:r>
            <w:r>
              <w:rPr>
                <w:rFonts w:hint="eastAsia" w:ascii="Times New Roman"/>
                <w:sz w:val="21"/>
                <w:szCs w:val="21"/>
                <w:highlight w:val="none"/>
                <w:lang w:val="en-US" w:eastAsia="zh-CN"/>
              </w:rPr>
              <w:t>2</w:t>
            </w:r>
            <w:r>
              <w:rPr>
                <w:spacing w:val="-9"/>
                <w:sz w:val="21"/>
                <w:szCs w:val="21"/>
                <w:highlight w:val="none"/>
              </w:rPr>
              <w:t>类标准，不会对周围居民以及工作人员</w:t>
            </w:r>
            <w:r>
              <w:rPr>
                <w:sz w:val="21"/>
                <w:szCs w:val="21"/>
                <w:highlight w:val="none"/>
              </w:rPr>
              <w:t>产生不良影响。</w:t>
            </w:r>
          </w:p>
          <w:p w14:paraId="68DD291A">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sz w:val="21"/>
                <w:szCs w:val="21"/>
                <w:highlight w:val="none"/>
              </w:rPr>
            </w:pPr>
            <w:r>
              <w:rPr>
                <w:rFonts w:ascii="Times New Roman" w:eastAsia="Times New Roman"/>
                <w:sz w:val="21"/>
                <w:szCs w:val="21"/>
                <w:highlight w:val="none"/>
              </w:rPr>
              <w:t>4</w:t>
            </w:r>
            <w:r>
              <w:rPr>
                <w:sz w:val="21"/>
                <w:szCs w:val="21"/>
                <w:highlight w:val="none"/>
              </w:rPr>
              <w:t>、固体废物影响</w:t>
            </w:r>
          </w:p>
          <w:p w14:paraId="57E7D776">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00" w:firstLineChars="200"/>
              <w:jc w:val="left"/>
              <w:textAlignment w:val="auto"/>
              <w:rPr>
                <w:sz w:val="21"/>
                <w:szCs w:val="21"/>
                <w:highlight w:val="none"/>
              </w:rPr>
            </w:pPr>
            <w:r>
              <w:rPr>
                <w:spacing w:val="-5"/>
                <w:sz w:val="21"/>
                <w:szCs w:val="21"/>
                <w:highlight w:val="none"/>
              </w:rPr>
              <w:t>经现场调查，废旧或故障太阳能电池组件收集后由光伏厂</w:t>
            </w:r>
            <w:r>
              <w:rPr>
                <w:spacing w:val="-4"/>
                <w:sz w:val="21"/>
                <w:szCs w:val="21"/>
                <w:highlight w:val="none"/>
              </w:rPr>
              <w:t>家回收处理</w:t>
            </w:r>
            <w:r>
              <w:rPr>
                <w:spacing w:val="6"/>
                <w:sz w:val="21"/>
                <w:szCs w:val="21"/>
                <w:highlight w:val="none"/>
              </w:rPr>
              <w:t>。</w:t>
            </w:r>
          </w:p>
          <w:p w14:paraId="23C7E976">
            <w:pPr>
              <w:pStyle w:val="5"/>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sz w:val="21"/>
                <w:szCs w:val="21"/>
                <w:highlight w:val="none"/>
              </w:rPr>
            </w:pPr>
            <w:r>
              <w:rPr>
                <w:rFonts w:ascii="Times New Roman" w:eastAsia="Times New Roman"/>
                <w:sz w:val="21"/>
                <w:szCs w:val="21"/>
                <w:highlight w:val="none"/>
              </w:rPr>
              <w:t>5</w:t>
            </w:r>
            <w:r>
              <w:rPr>
                <w:sz w:val="21"/>
                <w:szCs w:val="21"/>
                <w:highlight w:val="none"/>
              </w:rPr>
              <w:t>、电磁辐射影响</w:t>
            </w:r>
          </w:p>
          <w:p w14:paraId="620217D0">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4" w:firstLineChars="200"/>
              <w:jc w:val="left"/>
              <w:textAlignment w:val="auto"/>
              <w:rPr>
                <w:spacing w:val="-13"/>
                <w:sz w:val="21"/>
                <w:szCs w:val="21"/>
                <w:highlight w:val="none"/>
              </w:rPr>
            </w:pPr>
            <w:r>
              <w:rPr>
                <w:rFonts w:hint="eastAsia"/>
                <w:spacing w:val="6"/>
                <w:sz w:val="21"/>
                <w:szCs w:val="21"/>
                <w:highlight w:val="none"/>
              </w:rPr>
              <w:t>根据《电磁辐射防护规定》（GB8702-2014），100kV以下电压等级的交流输变电设施属于电磁辐射体豁免管理范畴，本项目光伏组件以及35KV的变配电设备属于可豁免的电磁辐射体的等效辐射功率，属电磁环境管理豁免范畴。</w:t>
            </w:r>
            <w:r>
              <w:rPr>
                <w:spacing w:val="6"/>
                <w:sz w:val="21"/>
                <w:szCs w:val="21"/>
                <w:highlight w:val="none"/>
              </w:rPr>
              <w:t>因此，本次验收不包含电磁辐射内容。</w:t>
            </w:r>
          </w:p>
        </w:tc>
      </w:tr>
      <w:tr w14:paraId="26AE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58" w:type="dxa"/>
            <w:vMerge w:val="continue"/>
            <w:vAlign w:val="center"/>
          </w:tcPr>
          <w:p w14:paraId="23745969">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sz w:val="21"/>
                <w:szCs w:val="21"/>
                <w:highlight w:val="none"/>
              </w:rPr>
            </w:pPr>
          </w:p>
        </w:tc>
        <w:tc>
          <w:tcPr>
            <w:tcW w:w="1191" w:type="dxa"/>
            <w:vAlign w:val="center"/>
          </w:tcPr>
          <w:p w14:paraId="276464E1">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position w:val="-9"/>
                <w:sz w:val="21"/>
                <w:szCs w:val="21"/>
                <w:highlight w:val="none"/>
              </w:rPr>
            </w:pPr>
            <w:r>
              <w:rPr>
                <w:sz w:val="21"/>
                <w:szCs w:val="21"/>
                <w:highlight w:val="none"/>
              </w:rPr>
              <w:t>社会影响</w:t>
            </w:r>
          </w:p>
        </w:tc>
        <w:tc>
          <w:tcPr>
            <w:tcW w:w="6672" w:type="dxa"/>
            <w:vAlign w:val="center"/>
          </w:tcPr>
          <w:p w14:paraId="19B6A0D3">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08" w:firstLineChars="200"/>
              <w:jc w:val="left"/>
              <w:textAlignment w:val="auto"/>
              <w:rPr>
                <w:sz w:val="21"/>
                <w:szCs w:val="21"/>
                <w:highlight w:val="none"/>
              </w:rPr>
            </w:pPr>
            <w:r>
              <w:rPr>
                <w:spacing w:val="-3"/>
                <w:sz w:val="21"/>
                <w:szCs w:val="21"/>
                <w:highlight w:val="none"/>
              </w:rPr>
              <w:t>由于光伏发电是一种清洁能源，与火电相比可节约大量的</w:t>
            </w:r>
            <w:r>
              <w:rPr>
                <w:spacing w:val="-4"/>
                <w:sz w:val="21"/>
                <w:szCs w:val="21"/>
                <w:highlight w:val="none"/>
              </w:rPr>
              <w:t>煤炭或油气资源，可有效减轻环境污染，改善当地环境；项目</w:t>
            </w:r>
            <w:r>
              <w:rPr>
                <w:spacing w:val="-3"/>
                <w:sz w:val="21"/>
                <w:szCs w:val="21"/>
                <w:highlight w:val="none"/>
              </w:rPr>
              <w:t>运营期间可为当地经济发展提供电力支持，进而带动和促进地</w:t>
            </w:r>
            <w:r>
              <w:rPr>
                <w:sz w:val="21"/>
                <w:szCs w:val="21"/>
                <w:highlight w:val="none"/>
              </w:rPr>
              <w:t>区国民经济的全面发展和社会进步。</w:t>
            </w:r>
          </w:p>
          <w:p w14:paraId="6EBAE1BC">
            <w:pPr>
              <w:pStyle w:val="2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0" w:firstLineChars="200"/>
              <w:jc w:val="left"/>
              <w:textAlignment w:val="auto"/>
              <w:rPr>
                <w:spacing w:val="-13"/>
                <w:sz w:val="21"/>
                <w:szCs w:val="21"/>
                <w:highlight w:val="none"/>
              </w:rPr>
            </w:pPr>
            <w:r>
              <w:rPr>
                <w:sz w:val="21"/>
                <w:szCs w:val="21"/>
                <w:highlight w:val="none"/>
              </w:rPr>
              <w:t>本项目自投入试运行以来，各项环保措施得到了落实，对环境影响很小，没有不良社会影响事件。</w:t>
            </w:r>
          </w:p>
        </w:tc>
      </w:tr>
    </w:tbl>
    <w:p w14:paraId="7ACDCBD4">
      <w:pPr>
        <w:spacing w:after="0" w:line="480" w:lineRule="exact"/>
        <w:rPr>
          <w:sz w:val="24"/>
          <w:highlight w:val="none"/>
        </w:rPr>
        <w:sectPr>
          <w:pgSz w:w="11910" w:h="16840"/>
          <w:pgMar w:top="1580" w:right="1440" w:bottom="1340" w:left="1580" w:header="0" w:footer="1160" w:gutter="0"/>
          <w:cols w:space="720" w:num="1"/>
        </w:sectPr>
      </w:pPr>
    </w:p>
    <w:p w14:paraId="5ACC9DB9">
      <w:pPr>
        <w:pStyle w:val="2"/>
        <w:tabs>
          <w:tab w:val="left" w:pos="801"/>
        </w:tabs>
        <w:spacing w:before="63"/>
        <w:ind w:right="136"/>
        <w:rPr>
          <w:highlight w:val="none"/>
        </w:rPr>
      </w:pPr>
      <w:r>
        <w:rPr>
          <w:highlight w:val="none"/>
        </w:rPr>
        <w:t>表</w:t>
      </w:r>
      <w:r>
        <w:rPr>
          <w:rFonts w:ascii="Times New Roman" w:eastAsia="Times New Roman"/>
          <w:highlight w:val="none"/>
        </w:rPr>
        <w:t>8</w:t>
      </w:r>
      <w:r>
        <w:rPr>
          <w:rFonts w:ascii="Times New Roman" w:eastAsia="Times New Roman"/>
          <w:highlight w:val="none"/>
        </w:rPr>
        <w:tab/>
      </w:r>
      <w:r>
        <w:rPr>
          <w:highlight w:val="none"/>
        </w:rPr>
        <w:t>环境质量及污染源监测</w:t>
      </w:r>
    </w:p>
    <w:p w14:paraId="52B53B88">
      <w:pPr>
        <w:pStyle w:val="5"/>
        <w:spacing w:before="1"/>
        <w:rPr>
          <w:b/>
          <w:sz w:val="5"/>
          <w:highlight w:val="none"/>
        </w:rPr>
      </w:pPr>
    </w:p>
    <w:tbl>
      <w:tblPr>
        <w:tblStyle w:val="10"/>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667"/>
        <w:gridCol w:w="2764"/>
        <w:gridCol w:w="1738"/>
        <w:gridCol w:w="1740"/>
        <w:gridCol w:w="1869"/>
      </w:tblGrid>
      <w:tr w14:paraId="2ADD24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0" w:hRule="atLeast"/>
        </w:trPr>
        <w:tc>
          <w:tcPr>
            <w:tcW w:w="797" w:type="dxa"/>
            <w:tcBorders>
              <w:bottom w:val="single" w:color="000000" w:sz="4" w:space="0"/>
              <w:right w:val="single" w:color="000000" w:sz="4" w:space="0"/>
            </w:tcBorders>
          </w:tcPr>
          <w:p w14:paraId="0373CE3D">
            <w:pPr>
              <w:pStyle w:val="22"/>
              <w:spacing w:before="7"/>
              <w:rPr>
                <w:b/>
                <w:sz w:val="26"/>
                <w:highlight w:val="none"/>
              </w:rPr>
            </w:pPr>
          </w:p>
          <w:p w14:paraId="547D469B">
            <w:pPr>
              <w:pStyle w:val="22"/>
              <w:ind w:left="88" w:right="74"/>
              <w:jc w:val="center"/>
              <w:rPr>
                <w:sz w:val="24"/>
                <w:highlight w:val="none"/>
              </w:rPr>
            </w:pPr>
            <w:r>
              <w:rPr>
                <w:sz w:val="24"/>
                <w:highlight w:val="none"/>
              </w:rPr>
              <w:t>项目</w:t>
            </w:r>
          </w:p>
        </w:tc>
        <w:tc>
          <w:tcPr>
            <w:tcW w:w="2317" w:type="dxa"/>
            <w:tcBorders>
              <w:left w:val="single" w:color="000000" w:sz="4" w:space="0"/>
              <w:bottom w:val="single" w:color="000000" w:sz="4" w:space="0"/>
              <w:right w:val="single" w:color="000000" w:sz="4" w:space="0"/>
            </w:tcBorders>
          </w:tcPr>
          <w:p w14:paraId="71A4FA18">
            <w:pPr>
              <w:pStyle w:val="22"/>
              <w:spacing w:before="184" w:line="242" w:lineRule="auto"/>
              <w:ind w:left="683" w:right="661"/>
              <w:rPr>
                <w:sz w:val="24"/>
                <w:highlight w:val="none"/>
              </w:rPr>
            </w:pPr>
            <w:r>
              <w:rPr>
                <w:sz w:val="24"/>
                <w:highlight w:val="none"/>
              </w:rPr>
              <w:t>监测时间监测频次</w:t>
            </w:r>
          </w:p>
        </w:tc>
        <w:tc>
          <w:tcPr>
            <w:tcW w:w="1757" w:type="dxa"/>
            <w:tcBorders>
              <w:left w:val="single" w:color="000000" w:sz="4" w:space="0"/>
              <w:bottom w:val="single" w:color="000000" w:sz="4" w:space="0"/>
              <w:right w:val="single" w:color="000000" w:sz="4" w:space="0"/>
            </w:tcBorders>
          </w:tcPr>
          <w:p w14:paraId="212BB9E1">
            <w:pPr>
              <w:pStyle w:val="22"/>
              <w:spacing w:before="7"/>
              <w:rPr>
                <w:b/>
                <w:sz w:val="26"/>
                <w:highlight w:val="none"/>
              </w:rPr>
            </w:pPr>
          </w:p>
          <w:p w14:paraId="5BB6993C">
            <w:pPr>
              <w:pStyle w:val="22"/>
              <w:ind w:left="401"/>
              <w:rPr>
                <w:sz w:val="24"/>
                <w:highlight w:val="none"/>
              </w:rPr>
            </w:pPr>
            <w:r>
              <w:rPr>
                <w:sz w:val="24"/>
                <w:highlight w:val="none"/>
              </w:rPr>
              <w:t>监测点位</w:t>
            </w:r>
          </w:p>
        </w:tc>
        <w:tc>
          <w:tcPr>
            <w:tcW w:w="1758" w:type="dxa"/>
            <w:tcBorders>
              <w:left w:val="single" w:color="000000" w:sz="4" w:space="0"/>
              <w:bottom w:val="single" w:color="000000" w:sz="4" w:space="0"/>
              <w:right w:val="single" w:color="000000" w:sz="4" w:space="0"/>
            </w:tcBorders>
          </w:tcPr>
          <w:p w14:paraId="401B33E6">
            <w:pPr>
              <w:pStyle w:val="22"/>
              <w:spacing w:before="7"/>
              <w:rPr>
                <w:b/>
                <w:sz w:val="26"/>
                <w:highlight w:val="none"/>
              </w:rPr>
            </w:pPr>
          </w:p>
          <w:p w14:paraId="518C5E65">
            <w:pPr>
              <w:pStyle w:val="22"/>
              <w:ind w:left="403"/>
              <w:rPr>
                <w:sz w:val="24"/>
                <w:highlight w:val="none"/>
              </w:rPr>
            </w:pPr>
            <w:r>
              <w:rPr>
                <w:sz w:val="24"/>
                <w:highlight w:val="none"/>
              </w:rPr>
              <w:t>监测项目</w:t>
            </w:r>
          </w:p>
        </w:tc>
        <w:tc>
          <w:tcPr>
            <w:tcW w:w="1892" w:type="dxa"/>
            <w:tcBorders>
              <w:left w:val="single" w:color="000000" w:sz="4" w:space="0"/>
              <w:bottom w:val="single" w:color="000000" w:sz="4" w:space="0"/>
            </w:tcBorders>
          </w:tcPr>
          <w:p w14:paraId="76BBC7EC">
            <w:pPr>
              <w:pStyle w:val="22"/>
              <w:spacing w:before="7"/>
              <w:rPr>
                <w:b/>
                <w:sz w:val="26"/>
                <w:highlight w:val="none"/>
              </w:rPr>
            </w:pPr>
          </w:p>
          <w:p w14:paraId="26441D28">
            <w:pPr>
              <w:pStyle w:val="22"/>
              <w:ind w:left="230"/>
              <w:rPr>
                <w:sz w:val="24"/>
                <w:highlight w:val="none"/>
              </w:rPr>
            </w:pPr>
            <w:r>
              <w:rPr>
                <w:sz w:val="24"/>
                <w:highlight w:val="none"/>
              </w:rPr>
              <w:t>监测结果分析</w:t>
            </w:r>
          </w:p>
        </w:tc>
      </w:tr>
      <w:tr w14:paraId="52CF10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2" w:hRule="atLeast"/>
        </w:trPr>
        <w:tc>
          <w:tcPr>
            <w:tcW w:w="797" w:type="dxa"/>
            <w:tcBorders>
              <w:top w:val="single" w:color="000000" w:sz="4" w:space="0"/>
              <w:bottom w:val="single" w:color="000000" w:sz="4" w:space="0"/>
              <w:right w:val="single" w:color="000000" w:sz="4" w:space="0"/>
            </w:tcBorders>
          </w:tcPr>
          <w:p w14:paraId="133E4C43">
            <w:pPr>
              <w:pStyle w:val="22"/>
              <w:spacing w:before="11"/>
              <w:rPr>
                <w:b/>
                <w:sz w:val="27"/>
                <w:highlight w:val="none"/>
              </w:rPr>
            </w:pPr>
          </w:p>
          <w:p w14:paraId="1C45BBD3">
            <w:pPr>
              <w:pStyle w:val="22"/>
              <w:spacing w:before="1"/>
              <w:ind w:left="138" w:right="24"/>
              <w:jc w:val="center"/>
              <w:rPr>
                <w:sz w:val="24"/>
                <w:highlight w:val="none"/>
              </w:rPr>
            </w:pPr>
            <w:r>
              <w:rPr>
                <w:sz w:val="24"/>
                <w:highlight w:val="none"/>
              </w:rPr>
              <w:t>生态</w:t>
            </w:r>
          </w:p>
        </w:tc>
        <w:tc>
          <w:tcPr>
            <w:tcW w:w="2317" w:type="dxa"/>
            <w:tcBorders>
              <w:top w:val="single" w:color="000000" w:sz="4" w:space="0"/>
              <w:left w:val="single" w:color="000000" w:sz="4" w:space="0"/>
              <w:bottom w:val="single" w:color="000000" w:sz="4" w:space="0"/>
              <w:right w:val="single" w:color="000000" w:sz="4" w:space="0"/>
            </w:tcBorders>
          </w:tcPr>
          <w:p w14:paraId="2BB707DF">
            <w:pPr>
              <w:pStyle w:val="22"/>
              <w:spacing w:before="202" w:line="242" w:lineRule="auto"/>
              <w:ind w:left="683" w:right="24" w:hanging="572"/>
              <w:rPr>
                <w:sz w:val="24"/>
                <w:highlight w:val="none"/>
              </w:rPr>
            </w:pPr>
            <w:r>
              <w:rPr>
                <w:sz w:val="24"/>
                <w:highlight w:val="none"/>
              </w:rPr>
              <w:t>未检测，进行了现场踏勘调查</w:t>
            </w:r>
          </w:p>
        </w:tc>
        <w:tc>
          <w:tcPr>
            <w:tcW w:w="1757" w:type="dxa"/>
            <w:tcBorders>
              <w:top w:val="single" w:color="000000" w:sz="4" w:space="0"/>
              <w:left w:val="single" w:color="000000" w:sz="4" w:space="0"/>
              <w:bottom w:val="single" w:color="000000" w:sz="4" w:space="0"/>
              <w:right w:val="single" w:color="000000" w:sz="4" w:space="0"/>
            </w:tcBorders>
          </w:tcPr>
          <w:p w14:paraId="579CA3FA">
            <w:pPr>
              <w:pStyle w:val="22"/>
              <w:spacing w:before="2"/>
              <w:rPr>
                <w:b/>
                <w:sz w:val="29"/>
                <w:highlight w:val="none"/>
              </w:rPr>
            </w:pPr>
          </w:p>
          <w:p w14:paraId="6892BF4E">
            <w:pPr>
              <w:pStyle w:val="22"/>
              <w:ind w:left="20"/>
              <w:jc w:val="center"/>
              <w:rPr>
                <w:rFonts w:ascii="Times New Roman"/>
                <w:sz w:val="24"/>
                <w:highlight w:val="none"/>
              </w:rPr>
            </w:pPr>
            <w:r>
              <w:rPr>
                <w:rFonts w:ascii="Times New Roman"/>
                <w:sz w:val="24"/>
                <w:highlight w:val="none"/>
              </w:rPr>
              <w:t>/</w:t>
            </w:r>
          </w:p>
        </w:tc>
        <w:tc>
          <w:tcPr>
            <w:tcW w:w="1758" w:type="dxa"/>
            <w:tcBorders>
              <w:top w:val="single" w:color="000000" w:sz="4" w:space="0"/>
              <w:left w:val="single" w:color="000000" w:sz="4" w:space="0"/>
              <w:bottom w:val="single" w:color="000000" w:sz="4" w:space="0"/>
              <w:right w:val="single" w:color="000000" w:sz="4" w:space="0"/>
            </w:tcBorders>
          </w:tcPr>
          <w:p w14:paraId="771C763D">
            <w:pPr>
              <w:pStyle w:val="22"/>
              <w:spacing w:before="11"/>
              <w:rPr>
                <w:b/>
                <w:sz w:val="27"/>
                <w:highlight w:val="none"/>
              </w:rPr>
            </w:pPr>
          </w:p>
          <w:p w14:paraId="09228547">
            <w:pPr>
              <w:pStyle w:val="22"/>
              <w:spacing w:before="1"/>
              <w:ind w:left="403"/>
              <w:rPr>
                <w:sz w:val="24"/>
                <w:highlight w:val="none"/>
              </w:rPr>
            </w:pPr>
            <w:r>
              <w:rPr>
                <w:sz w:val="24"/>
                <w:highlight w:val="none"/>
              </w:rPr>
              <w:t>植被恢复</w:t>
            </w:r>
          </w:p>
        </w:tc>
        <w:tc>
          <w:tcPr>
            <w:tcW w:w="1892" w:type="dxa"/>
            <w:tcBorders>
              <w:top w:val="single" w:color="000000" w:sz="4" w:space="0"/>
              <w:left w:val="single" w:color="000000" w:sz="4" w:space="0"/>
              <w:bottom w:val="single" w:color="000000" w:sz="4" w:space="0"/>
            </w:tcBorders>
          </w:tcPr>
          <w:p w14:paraId="5E59FC7D">
            <w:pPr>
              <w:pStyle w:val="22"/>
              <w:spacing w:before="45" w:line="242" w:lineRule="auto"/>
              <w:ind w:left="230" w:right="206"/>
              <w:jc w:val="center"/>
              <w:rPr>
                <w:sz w:val="24"/>
                <w:highlight w:val="none"/>
              </w:rPr>
            </w:pPr>
            <w:r>
              <w:rPr>
                <w:sz w:val="24"/>
                <w:highlight w:val="none"/>
              </w:rPr>
              <w:t>场地平整及生态恢复已基本完成</w:t>
            </w:r>
          </w:p>
        </w:tc>
      </w:tr>
      <w:tr w14:paraId="501C6B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2" w:hRule="atLeast"/>
        </w:trPr>
        <w:tc>
          <w:tcPr>
            <w:tcW w:w="797" w:type="dxa"/>
            <w:tcBorders>
              <w:top w:val="single" w:color="000000" w:sz="4" w:space="0"/>
              <w:bottom w:val="single" w:color="000000" w:sz="4" w:space="0"/>
              <w:right w:val="single" w:color="000000" w:sz="4" w:space="0"/>
            </w:tcBorders>
          </w:tcPr>
          <w:p w14:paraId="5B30B9F8">
            <w:pPr>
              <w:pStyle w:val="22"/>
              <w:spacing w:before="1"/>
              <w:ind w:left="138" w:right="24"/>
              <w:jc w:val="center"/>
              <w:rPr>
                <w:sz w:val="24"/>
                <w:highlight w:val="none"/>
              </w:rPr>
            </w:pPr>
            <w:r>
              <w:rPr>
                <w:sz w:val="24"/>
                <w:highlight w:val="none"/>
              </w:rPr>
              <w:t>噪声</w:t>
            </w:r>
          </w:p>
        </w:tc>
        <w:tc>
          <w:tcPr>
            <w:tcW w:w="7724" w:type="dxa"/>
            <w:gridSpan w:val="4"/>
            <w:tcBorders>
              <w:top w:val="single" w:color="000000" w:sz="4" w:space="0"/>
              <w:left w:val="single" w:color="000000" w:sz="4" w:space="0"/>
              <w:bottom w:val="single" w:color="000000" w:sz="4" w:space="0"/>
            </w:tcBorders>
          </w:tcPr>
          <w:p w14:paraId="08483DAB">
            <w:pPr>
              <w:pStyle w:val="22"/>
              <w:numPr>
                <w:ilvl w:val="0"/>
                <w:numId w:val="3"/>
              </w:numPr>
              <w:tabs>
                <w:tab w:val="left" w:pos="714"/>
              </w:tabs>
              <w:spacing w:before="145" w:after="0" w:line="240" w:lineRule="auto"/>
              <w:ind w:left="713" w:right="0" w:hanging="602"/>
              <w:jc w:val="left"/>
              <w:rPr>
                <w:sz w:val="24"/>
                <w:highlight w:val="none"/>
              </w:rPr>
            </w:pPr>
            <w:r>
              <w:rPr>
                <w:sz w:val="24"/>
                <w:highlight w:val="none"/>
              </w:rPr>
              <w:t>监测项目、点位及频次</w:t>
            </w:r>
          </w:p>
          <w:p w14:paraId="5234A01B">
            <w:pPr>
              <w:pStyle w:val="22"/>
              <w:spacing w:before="173" w:line="374" w:lineRule="auto"/>
              <w:ind w:left="112" w:right="-29" w:firstLine="480"/>
              <w:rPr>
                <w:sz w:val="24"/>
                <w:highlight w:val="none"/>
              </w:rPr>
            </w:pPr>
            <w:r>
              <w:rPr>
                <w:spacing w:val="-4"/>
                <w:sz w:val="24"/>
                <w:highlight w:val="none"/>
              </w:rPr>
              <w:t>噪声监测为项目四周场界噪声</w:t>
            </w:r>
            <w:r>
              <w:rPr>
                <w:rFonts w:hint="eastAsia"/>
                <w:spacing w:val="-4"/>
                <w:sz w:val="24"/>
                <w:highlight w:val="none"/>
                <w:lang w:val="en-US" w:eastAsia="zh-CN"/>
              </w:rPr>
              <w:t>和敏感点噪声</w:t>
            </w:r>
            <w:r>
              <w:rPr>
                <w:spacing w:val="-4"/>
                <w:sz w:val="24"/>
                <w:highlight w:val="none"/>
              </w:rPr>
              <w:t>，在</w:t>
            </w:r>
            <w:r>
              <w:rPr>
                <w:rFonts w:hint="eastAsia"/>
                <w:spacing w:val="-4"/>
                <w:sz w:val="24"/>
                <w:highlight w:val="none"/>
                <w:lang w:val="en-US" w:eastAsia="zh-CN"/>
              </w:rPr>
              <w:t>一二期厂区和三期厂区边界</w:t>
            </w:r>
            <w:r>
              <w:rPr>
                <w:spacing w:val="-4"/>
                <w:sz w:val="24"/>
                <w:highlight w:val="none"/>
              </w:rPr>
              <w:t>四周</w:t>
            </w:r>
            <w:r>
              <w:rPr>
                <w:rFonts w:hint="eastAsia"/>
                <w:spacing w:val="-4"/>
                <w:sz w:val="24"/>
                <w:highlight w:val="none"/>
                <w:lang w:eastAsia="zh-CN"/>
              </w:rPr>
              <w:t>、</w:t>
            </w:r>
            <w:r>
              <w:rPr>
                <w:rFonts w:hint="eastAsia"/>
                <w:spacing w:val="-4"/>
                <w:sz w:val="24"/>
                <w:highlight w:val="none"/>
                <w:lang w:val="en-US" w:eastAsia="zh-CN"/>
              </w:rPr>
              <w:t>横山村、下白沙</w:t>
            </w:r>
            <w:r>
              <w:rPr>
                <w:spacing w:val="-4"/>
                <w:sz w:val="24"/>
                <w:highlight w:val="none"/>
              </w:rPr>
              <w:t>各布设</w:t>
            </w:r>
            <w:r>
              <w:rPr>
                <w:rFonts w:ascii="Times New Roman" w:eastAsia="Times New Roman"/>
                <w:sz w:val="24"/>
                <w:highlight w:val="none"/>
              </w:rPr>
              <w:t>1</w:t>
            </w:r>
            <w:r>
              <w:rPr>
                <w:sz w:val="24"/>
                <w:highlight w:val="none"/>
              </w:rPr>
              <w:t>个</w:t>
            </w:r>
            <w:r>
              <w:rPr>
                <w:spacing w:val="-9"/>
                <w:sz w:val="24"/>
                <w:highlight w:val="none"/>
              </w:rPr>
              <w:t>监测点，监测时间为</w:t>
            </w:r>
            <w:r>
              <w:rPr>
                <w:rFonts w:ascii="Times New Roman" w:eastAsia="Times New Roman"/>
                <w:sz w:val="24"/>
                <w:highlight w:val="none"/>
              </w:rPr>
              <w:t>202</w:t>
            </w:r>
            <w:r>
              <w:rPr>
                <w:rFonts w:hint="eastAsia" w:ascii="Times New Roman"/>
                <w:sz w:val="24"/>
                <w:highlight w:val="none"/>
                <w:lang w:val="en-US" w:eastAsia="zh-CN"/>
              </w:rPr>
              <w:t>4</w:t>
            </w:r>
            <w:r>
              <w:rPr>
                <w:sz w:val="24"/>
                <w:highlight w:val="none"/>
              </w:rPr>
              <w:t>年</w:t>
            </w:r>
            <w:r>
              <w:rPr>
                <w:rFonts w:hint="eastAsia" w:ascii="Times New Roman"/>
                <w:sz w:val="24"/>
                <w:highlight w:val="none"/>
                <w:lang w:val="en-US" w:eastAsia="zh-CN"/>
              </w:rPr>
              <w:t>08</w:t>
            </w:r>
            <w:r>
              <w:rPr>
                <w:sz w:val="24"/>
                <w:highlight w:val="none"/>
              </w:rPr>
              <w:t>月</w:t>
            </w:r>
            <w:r>
              <w:rPr>
                <w:rFonts w:hint="eastAsia" w:ascii="Times New Roman"/>
                <w:sz w:val="24"/>
                <w:highlight w:val="none"/>
                <w:lang w:val="en-US" w:eastAsia="zh-CN"/>
              </w:rPr>
              <w:t>28</w:t>
            </w:r>
            <w:r>
              <w:rPr>
                <w:sz w:val="24"/>
                <w:highlight w:val="none"/>
              </w:rPr>
              <w:t>日</w:t>
            </w:r>
            <w:r>
              <w:rPr>
                <w:rFonts w:ascii="Times New Roman" w:eastAsia="Times New Roman"/>
                <w:sz w:val="24"/>
                <w:highlight w:val="none"/>
              </w:rPr>
              <w:t>-202</w:t>
            </w:r>
            <w:r>
              <w:rPr>
                <w:rFonts w:hint="eastAsia" w:ascii="Times New Roman"/>
                <w:sz w:val="24"/>
                <w:highlight w:val="none"/>
                <w:lang w:val="en-US" w:eastAsia="zh-CN"/>
              </w:rPr>
              <w:t>4</w:t>
            </w:r>
            <w:r>
              <w:rPr>
                <w:sz w:val="24"/>
                <w:highlight w:val="none"/>
              </w:rPr>
              <w:t>年</w:t>
            </w:r>
            <w:r>
              <w:rPr>
                <w:rFonts w:hint="eastAsia" w:ascii="Times New Roman"/>
                <w:sz w:val="24"/>
                <w:highlight w:val="none"/>
                <w:lang w:val="en-US" w:eastAsia="zh-CN"/>
              </w:rPr>
              <w:t>08</w:t>
            </w:r>
            <w:r>
              <w:rPr>
                <w:sz w:val="24"/>
                <w:highlight w:val="none"/>
              </w:rPr>
              <w:t>年</w:t>
            </w:r>
            <w:r>
              <w:rPr>
                <w:rFonts w:hint="eastAsia"/>
                <w:sz w:val="24"/>
                <w:highlight w:val="none"/>
                <w:lang w:val="en-US" w:eastAsia="zh-CN"/>
              </w:rPr>
              <w:t>29</w:t>
            </w:r>
            <w:r>
              <w:rPr>
                <w:spacing w:val="-11"/>
                <w:sz w:val="24"/>
                <w:highlight w:val="none"/>
              </w:rPr>
              <w:t>日，每个监测点昼间、</w:t>
            </w:r>
            <w:r>
              <w:rPr>
                <w:sz w:val="24"/>
                <w:highlight w:val="none"/>
              </w:rPr>
              <w:t>夜间各监测</w:t>
            </w:r>
            <w:r>
              <w:rPr>
                <w:rFonts w:hint="eastAsia"/>
                <w:sz w:val="24"/>
                <w:highlight w:val="none"/>
                <w:lang w:val="en-US" w:eastAsia="zh-CN"/>
              </w:rPr>
              <w:t>1</w:t>
            </w:r>
            <w:r>
              <w:rPr>
                <w:sz w:val="24"/>
                <w:highlight w:val="none"/>
              </w:rPr>
              <w:t>次。</w:t>
            </w:r>
          </w:p>
          <w:p w14:paraId="3C08628E">
            <w:pPr>
              <w:pStyle w:val="22"/>
              <w:spacing w:before="1"/>
              <w:ind w:left="592"/>
              <w:rPr>
                <w:sz w:val="24"/>
                <w:highlight w:val="none"/>
              </w:rPr>
            </w:pPr>
            <w:r>
              <w:rPr>
                <w:sz w:val="24"/>
                <w:highlight w:val="none"/>
              </w:rPr>
              <w:t>监测点位布设见图</w:t>
            </w:r>
            <w:r>
              <w:rPr>
                <w:rFonts w:ascii="Times New Roman" w:eastAsia="Times New Roman"/>
                <w:sz w:val="24"/>
                <w:highlight w:val="none"/>
              </w:rPr>
              <w:t>5</w:t>
            </w:r>
            <w:r>
              <w:rPr>
                <w:sz w:val="24"/>
                <w:highlight w:val="none"/>
              </w:rPr>
              <w:t>。</w:t>
            </w:r>
          </w:p>
          <w:p w14:paraId="23F03208">
            <w:pPr>
              <w:pStyle w:val="22"/>
              <w:numPr>
                <w:ilvl w:val="0"/>
                <w:numId w:val="3"/>
              </w:numPr>
              <w:tabs>
                <w:tab w:val="left" w:pos="714"/>
              </w:tabs>
              <w:spacing w:before="172" w:after="0" w:line="240" w:lineRule="auto"/>
              <w:ind w:left="713" w:right="0" w:hanging="602"/>
              <w:jc w:val="left"/>
              <w:rPr>
                <w:sz w:val="24"/>
                <w:highlight w:val="none"/>
              </w:rPr>
            </w:pPr>
            <w:r>
              <w:rPr>
                <w:sz w:val="24"/>
                <w:highlight w:val="none"/>
              </w:rPr>
              <w:t>监测方法</w:t>
            </w:r>
          </w:p>
          <w:p w14:paraId="32FFA036">
            <w:pPr>
              <w:pStyle w:val="22"/>
              <w:tabs>
                <w:tab w:val="left" w:pos="2946"/>
              </w:tabs>
              <w:ind w:left="2147"/>
              <w:rPr>
                <w:b/>
                <w:sz w:val="24"/>
                <w:highlight w:val="none"/>
              </w:rPr>
            </w:pPr>
            <w:r>
              <w:rPr>
                <w:b/>
                <w:sz w:val="24"/>
                <w:highlight w:val="none"/>
              </w:rPr>
              <w:t>表</w:t>
            </w:r>
            <w:r>
              <w:rPr>
                <w:rFonts w:ascii="Times New Roman" w:eastAsia="Times New Roman"/>
                <w:b/>
                <w:sz w:val="24"/>
                <w:highlight w:val="none"/>
              </w:rPr>
              <w:t>8-1</w:t>
            </w:r>
            <w:r>
              <w:rPr>
                <w:rFonts w:ascii="Times New Roman" w:eastAsia="Times New Roman"/>
                <w:b/>
                <w:sz w:val="24"/>
                <w:highlight w:val="none"/>
              </w:rPr>
              <w:tab/>
            </w:r>
            <w:r>
              <w:rPr>
                <w:b/>
                <w:sz w:val="24"/>
                <w:highlight w:val="none"/>
              </w:rPr>
              <w:t>噪声检测分析方法一览表</w:t>
            </w:r>
          </w:p>
          <w:p w14:paraId="48F9CBF1">
            <w:pPr>
              <w:pStyle w:val="22"/>
              <w:spacing w:before="45" w:line="242" w:lineRule="auto"/>
              <w:ind w:left="230" w:right="206"/>
              <w:jc w:val="center"/>
              <w:rPr>
                <w:sz w:val="24"/>
                <w:highlight w:val="none"/>
              </w:rPr>
            </w:pPr>
          </w:p>
          <w:tbl>
            <w:tblPr>
              <w:tblStyle w:val="1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6"/>
              <w:gridCol w:w="2206"/>
              <w:gridCol w:w="2880"/>
              <w:gridCol w:w="2022"/>
            </w:tblGrid>
            <w:tr w14:paraId="3187C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604" w:type="pct"/>
                  <w:vAlign w:val="center"/>
                </w:tcPr>
                <w:p w14:paraId="4262C0B7">
                  <w:pPr>
                    <w:pStyle w:val="22"/>
                    <w:ind w:left="118" w:right="108"/>
                    <w:jc w:val="center"/>
                    <w:rPr>
                      <w:sz w:val="21"/>
                      <w:highlight w:val="none"/>
                    </w:rPr>
                  </w:pPr>
                  <w:r>
                    <w:rPr>
                      <w:sz w:val="21"/>
                      <w:highlight w:val="none"/>
                    </w:rPr>
                    <w:t>检测项</w:t>
                  </w:r>
                </w:p>
                <w:p w14:paraId="2D91C7EB">
                  <w:pPr>
                    <w:pStyle w:val="22"/>
                    <w:spacing w:before="4" w:line="251" w:lineRule="exact"/>
                    <w:ind w:left="7"/>
                    <w:jc w:val="center"/>
                    <w:rPr>
                      <w:sz w:val="21"/>
                      <w:highlight w:val="none"/>
                    </w:rPr>
                  </w:pPr>
                  <w:r>
                    <w:rPr>
                      <w:w w:val="99"/>
                      <w:sz w:val="21"/>
                      <w:highlight w:val="none"/>
                    </w:rPr>
                    <w:t>目</w:t>
                  </w:r>
                </w:p>
              </w:tc>
              <w:tc>
                <w:tcPr>
                  <w:tcW w:w="1364" w:type="pct"/>
                  <w:vAlign w:val="center"/>
                </w:tcPr>
                <w:p w14:paraId="2578613D">
                  <w:pPr>
                    <w:pStyle w:val="22"/>
                    <w:spacing w:before="136"/>
                    <w:ind w:left="288"/>
                    <w:rPr>
                      <w:sz w:val="21"/>
                      <w:highlight w:val="none"/>
                    </w:rPr>
                  </w:pPr>
                  <w:r>
                    <w:rPr>
                      <w:sz w:val="21"/>
                      <w:highlight w:val="none"/>
                    </w:rPr>
                    <w:t>分析方法及来源</w:t>
                  </w:r>
                </w:p>
              </w:tc>
              <w:tc>
                <w:tcPr>
                  <w:tcW w:w="1781" w:type="pct"/>
                  <w:vAlign w:val="center"/>
                </w:tcPr>
                <w:p w14:paraId="63EB228C">
                  <w:pPr>
                    <w:pStyle w:val="22"/>
                    <w:spacing w:before="136"/>
                    <w:ind w:left="436"/>
                    <w:rPr>
                      <w:sz w:val="21"/>
                      <w:highlight w:val="none"/>
                    </w:rPr>
                  </w:pPr>
                  <w:r>
                    <w:rPr>
                      <w:sz w:val="21"/>
                      <w:highlight w:val="none"/>
                    </w:rPr>
                    <w:t>仪器名称</w:t>
                  </w:r>
                  <w:r>
                    <w:rPr>
                      <w:rFonts w:ascii="Times New Roman" w:eastAsia="Times New Roman"/>
                      <w:sz w:val="21"/>
                      <w:highlight w:val="none"/>
                    </w:rPr>
                    <w:t>/</w:t>
                  </w:r>
                  <w:r>
                    <w:rPr>
                      <w:sz w:val="21"/>
                      <w:highlight w:val="none"/>
                    </w:rPr>
                    <w:t>型号</w:t>
                  </w:r>
                  <w:r>
                    <w:rPr>
                      <w:rFonts w:ascii="Times New Roman" w:eastAsia="Times New Roman"/>
                      <w:sz w:val="21"/>
                      <w:highlight w:val="none"/>
                    </w:rPr>
                    <w:t>/</w:t>
                  </w:r>
                  <w:r>
                    <w:rPr>
                      <w:sz w:val="21"/>
                      <w:highlight w:val="none"/>
                    </w:rPr>
                    <w:t>编号</w:t>
                  </w:r>
                </w:p>
              </w:tc>
              <w:tc>
                <w:tcPr>
                  <w:tcW w:w="1250" w:type="pct"/>
                  <w:vAlign w:val="center"/>
                </w:tcPr>
                <w:p w14:paraId="3944A6C8">
                  <w:pPr>
                    <w:pStyle w:val="22"/>
                    <w:spacing w:before="136"/>
                    <w:ind w:left="304" w:right="298"/>
                    <w:jc w:val="center"/>
                    <w:rPr>
                      <w:sz w:val="21"/>
                      <w:highlight w:val="none"/>
                    </w:rPr>
                  </w:pPr>
                  <w:r>
                    <w:rPr>
                      <w:sz w:val="21"/>
                      <w:highlight w:val="none"/>
                    </w:rPr>
                    <w:t>备注</w:t>
                  </w:r>
                </w:p>
              </w:tc>
            </w:tr>
            <w:tr w14:paraId="28740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0" w:hRule="atLeast"/>
                <w:jc w:val="center"/>
              </w:trPr>
              <w:tc>
                <w:tcPr>
                  <w:tcW w:w="604" w:type="pct"/>
                  <w:vAlign w:val="center"/>
                </w:tcPr>
                <w:p w14:paraId="78A62CDE">
                  <w:pPr>
                    <w:pStyle w:val="22"/>
                    <w:rPr>
                      <w:b/>
                      <w:sz w:val="20"/>
                      <w:highlight w:val="none"/>
                    </w:rPr>
                  </w:pPr>
                </w:p>
                <w:p w14:paraId="1F414FE5">
                  <w:pPr>
                    <w:pStyle w:val="22"/>
                    <w:rPr>
                      <w:b/>
                      <w:sz w:val="20"/>
                      <w:highlight w:val="none"/>
                    </w:rPr>
                  </w:pPr>
                </w:p>
                <w:p w14:paraId="793612CE">
                  <w:pPr>
                    <w:pStyle w:val="22"/>
                    <w:ind w:left="241"/>
                    <w:rPr>
                      <w:sz w:val="21"/>
                      <w:highlight w:val="none"/>
                    </w:rPr>
                  </w:pPr>
                  <w:r>
                    <w:rPr>
                      <w:sz w:val="21"/>
                      <w:highlight w:val="none"/>
                    </w:rPr>
                    <w:t>噪声</w:t>
                  </w:r>
                </w:p>
              </w:tc>
              <w:tc>
                <w:tcPr>
                  <w:tcW w:w="1364" w:type="pct"/>
                  <w:vAlign w:val="center"/>
                </w:tcPr>
                <w:p w14:paraId="5C20EC33">
                  <w:pPr>
                    <w:pStyle w:val="22"/>
                    <w:spacing w:before="8"/>
                    <w:rPr>
                      <w:b/>
                      <w:sz w:val="18"/>
                      <w:highlight w:val="none"/>
                    </w:rPr>
                  </w:pPr>
                </w:p>
                <w:p w14:paraId="4216F4CD">
                  <w:pPr>
                    <w:pStyle w:val="22"/>
                    <w:spacing w:line="244" w:lineRule="auto"/>
                    <w:ind w:left="182" w:right="173"/>
                    <w:rPr>
                      <w:sz w:val="21"/>
                      <w:highlight w:val="none"/>
                    </w:rPr>
                  </w:pPr>
                  <w:r>
                    <w:rPr>
                      <w:spacing w:val="-2"/>
                      <w:sz w:val="21"/>
                      <w:highlight w:val="none"/>
                    </w:rPr>
                    <w:t>《工业企业厂界环</w:t>
                  </w:r>
                  <w:r>
                    <w:rPr>
                      <w:spacing w:val="-2"/>
                      <w:w w:val="95"/>
                      <w:sz w:val="21"/>
                      <w:highlight w:val="none"/>
                    </w:rPr>
                    <w:t>境噪声排放标准》</w:t>
                  </w:r>
                </w:p>
                <w:p w14:paraId="74F27ED1">
                  <w:pPr>
                    <w:pStyle w:val="22"/>
                    <w:spacing w:line="265" w:lineRule="exact"/>
                    <w:ind w:left="158"/>
                    <w:rPr>
                      <w:sz w:val="21"/>
                      <w:highlight w:val="none"/>
                    </w:rPr>
                  </w:pPr>
                  <w:r>
                    <w:rPr>
                      <w:sz w:val="21"/>
                      <w:highlight w:val="none"/>
                    </w:rPr>
                    <w:t>（</w:t>
                  </w:r>
                  <w:r>
                    <w:rPr>
                      <w:rFonts w:ascii="Times New Roman" w:eastAsia="Times New Roman"/>
                      <w:sz w:val="21"/>
                      <w:highlight w:val="none"/>
                    </w:rPr>
                    <w:t>GB12348-2008</w:t>
                  </w:r>
                  <w:r>
                    <w:rPr>
                      <w:sz w:val="21"/>
                      <w:highlight w:val="none"/>
                    </w:rPr>
                    <w:t>）</w:t>
                  </w:r>
                </w:p>
              </w:tc>
              <w:tc>
                <w:tcPr>
                  <w:tcW w:w="1781" w:type="pct"/>
                  <w:vAlign w:val="center"/>
                </w:tcPr>
                <w:p w14:paraId="7DBD12D6">
                  <w:pPr>
                    <w:pStyle w:val="22"/>
                    <w:spacing w:line="246" w:lineRule="exact"/>
                    <w:ind w:left="85" w:right="73"/>
                    <w:jc w:val="center"/>
                    <w:rPr>
                      <w:rFonts w:ascii="Times New Roman" w:eastAsia="Times New Roman"/>
                      <w:sz w:val="21"/>
                      <w:highlight w:val="none"/>
                    </w:rPr>
                  </w:pPr>
                  <w:r>
                    <w:rPr>
                      <w:rFonts w:hint="eastAsia" w:ascii="Times New Roman" w:eastAsia="Times New Roman"/>
                      <w:sz w:val="21"/>
                      <w:highlight w:val="none"/>
                    </w:rPr>
                    <w:t>多功能噪声计AWA5688</w:t>
                  </w:r>
                </w:p>
              </w:tc>
              <w:tc>
                <w:tcPr>
                  <w:tcW w:w="1250" w:type="pct"/>
                  <w:vAlign w:val="center"/>
                </w:tcPr>
                <w:p w14:paraId="6C723907">
                  <w:pPr>
                    <w:pStyle w:val="22"/>
                    <w:spacing w:before="105" w:line="242" w:lineRule="auto"/>
                    <w:ind w:left="306" w:right="298"/>
                    <w:jc w:val="center"/>
                    <w:rPr>
                      <w:sz w:val="21"/>
                      <w:highlight w:val="none"/>
                    </w:rPr>
                  </w:pPr>
                  <w:r>
                    <w:rPr>
                      <w:sz w:val="21"/>
                      <w:highlight w:val="none"/>
                    </w:rPr>
                    <w:t>检测期间的环境状况符合规</w:t>
                  </w:r>
                </w:p>
                <w:p w14:paraId="3E52030F">
                  <w:pPr>
                    <w:pStyle w:val="22"/>
                    <w:spacing w:line="244" w:lineRule="auto"/>
                    <w:ind w:left="81" w:right="73"/>
                    <w:jc w:val="center"/>
                    <w:rPr>
                      <w:rFonts w:ascii="Times New Roman" w:eastAsia="Times New Roman"/>
                      <w:sz w:val="21"/>
                      <w:highlight w:val="none"/>
                    </w:rPr>
                  </w:pPr>
                  <w:r>
                    <w:rPr>
                      <w:sz w:val="21"/>
                      <w:highlight w:val="none"/>
                    </w:rPr>
                    <w:t>范，无雨雪，无雷电，风速＜</w:t>
                  </w:r>
                  <w:r>
                    <w:rPr>
                      <w:rFonts w:ascii="Times New Roman" w:eastAsia="Times New Roman"/>
                      <w:sz w:val="21"/>
                      <w:highlight w:val="none"/>
                    </w:rPr>
                    <w:t>5.0m/s</w:t>
                  </w:r>
                </w:p>
              </w:tc>
            </w:tr>
          </w:tbl>
          <w:p w14:paraId="5187D458">
            <w:pPr>
              <w:pStyle w:val="22"/>
              <w:numPr>
                <w:ilvl w:val="0"/>
                <w:numId w:val="3"/>
              </w:numPr>
              <w:tabs>
                <w:tab w:val="left" w:pos="714"/>
              </w:tabs>
              <w:spacing w:before="0" w:after="0" w:line="240" w:lineRule="auto"/>
              <w:ind w:left="713" w:right="0" w:hanging="602"/>
              <w:jc w:val="left"/>
              <w:rPr>
                <w:sz w:val="24"/>
                <w:highlight w:val="none"/>
              </w:rPr>
            </w:pPr>
            <w:r>
              <w:rPr>
                <w:sz w:val="24"/>
                <w:highlight w:val="none"/>
              </w:rPr>
              <w:t>场界噪声监测结果及分析评价</w:t>
            </w:r>
          </w:p>
          <w:p w14:paraId="3C21FB32">
            <w:pPr>
              <w:pStyle w:val="22"/>
              <w:spacing w:before="45" w:line="242" w:lineRule="auto"/>
              <w:ind w:left="230" w:right="206"/>
              <w:jc w:val="center"/>
              <w:rPr>
                <w:b/>
                <w:sz w:val="24"/>
                <w:highlight w:val="none"/>
              </w:rPr>
            </w:pPr>
            <w:r>
              <w:rPr>
                <w:b/>
                <w:sz w:val="24"/>
                <w:highlight w:val="none"/>
              </w:rPr>
              <w:t>表</w:t>
            </w:r>
            <w:r>
              <w:rPr>
                <w:rFonts w:ascii="Times New Roman" w:eastAsia="Times New Roman"/>
                <w:b/>
                <w:sz w:val="24"/>
                <w:highlight w:val="none"/>
              </w:rPr>
              <w:t>8-2</w:t>
            </w:r>
            <w:r>
              <w:rPr>
                <w:rFonts w:ascii="Times New Roman" w:eastAsia="Times New Roman"/>
                <w:b/>
                <w:spacing w:val="59"/>
                <w:sz w:val="24"/>
                <w:highlight w:val="none"/>
              </w:rPr>
              <w:t xml:space="preserve"> </w:t>
            </w:r>
            <w:r>
              <w:rPr>
                <w:b/>
                <w:sz w:val="24"/>
                <w:highlight w:val="none"/>
              </w:rPr>
              <w:t>厂界噪声检测结果一览表</w:t>
            </w:r>
          </w:p>
          <w:tbl>
            <w:tblPr>
              <w:tblStyle w:val="1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14"/>
              <w:gridCol w:w="938"/>
              <w:gridCol w:w="1810"/>
              <w:gridCol w:w="1716"/>
              <w:gridCol w:w="1056"/>
              <w:gridCol w:w="749"/>
            </w:tblGrid>
            <w:tr w14:paraId="78792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22" w:type="pct"/>
                  <w:vMerge w:val="restart"/>
                  <w:tcBorders>
                    <w:tl2br w:val="nil"/>
                    <w:tr2bl w:val="nil"/>
                  </w:tcBorders>
                  <w:vAlign w:val="center"/>
                </w:tcPr>
                <w:p w14:paraId="0FF08C59">
                  <w:pPr>
                    <w:spacing w:before="31" w:beforeLines="10" w:after="31" w:afterLines="10"/>
                    <w:jc w:val="center"/>
                    <w:rPr>
                      <w:rFonts w:ascii="Times New Roman" w:hAnsi="Times New Roman" w:eastAsia="宋体"/>
                      <w:b w:val="0"/>
                      <w:bCs w:val="0"/>
                      <w:szCs w:val="21"/>
                      <w:highlight w:val="none"/>
                    </w:rPr>
                  </w:pPr>
                  <w:r>
                    <w:rPr>
                      <w:rFonts w:hint="default" w:ascii="Times New Roman" w:hAnsi="Times New Roman" w:eastAsia="宋体" w:cs="Times New Roman"/>
                      <w:b w:val="0"/>
                      <w:bCs w:val="0"/>
                      <w:sz w:val="21"/>
                      <w:szCs w:val="21"/>
                      <w:highlight w:val="none"/>
                    </w:rPr>
                    <w:t>检测点位</w:t>
                  </w:r>
                </w:p>
              </w:tc>
              <w:tc>
                <w:tcPr>
                  <w:tcW w:w="580" w:type="pct"/>
                  <w:vMerge w:val="restart"/>
                  <w:tcBorders>
                    <w:tl2br w:val="nil"/>
                    <w:tr2bl w:val="nil"/>
                  </w:tcBorders>
                  <w:vAlign w:val="center"/>
                </w:tcPr>
                <w:p w14:paraId="6E12A23F">
                  <w:pPr>
                    <w:spacing w:before="31" w:beforeLines="10" w:after="31" w:afterLines="10"/>
                    <w:jc w:val="center"/>
                    <w:rPr>
                      <w:rFonts w:hint="eastAsia" w:ascii="Times New Roman" w:hAnsi="Times New Roman" w:eastAsia="宋体"/>
                      <w:b w:val="0"/>
                      <w:bCs w:val="0"/>
                      <w:szCs w:val="21"/>
                      <w:highlight w:val="none"/>
                      <w:lang w:eastAsia="zh-CN"/>
                    </w:rPr>
                  </w:pPr>
                  <w:r>
                    <w:rPr>
                      <w:rFonts w:ascii="Times New Roman" w:hAnsi="Times New Roman" w:eastAsia="宋体"/>
                      <w:b w:val="0"/>
                      <w:bCs w:val="0"/>
                      <w:szCs w:val="21"/>
                      <w:highlight w:val="none"/>
                    </w:rPr>
                    <w:t>测定时间</w:t>
                  </w:r>
                </w:p>
              </w:tc>
              <w:tc>
                <w:tcPr>
                  <w:tcW w:w="2180" w:type="pct"/>
                  <w:gridSpan w:val="2"/>
                  <w:tcBorders>
                    <w:tl2br w:val="nil"/>
                    <w:tr2bl w:val="nil"/>
                  </w:tcBorders>
                  <w:vAlign w:val="center"/>
                </w:tcPr>
                <w:p w14:paraId="5A3AD4E1">
                  <w:pPr>
                    <w:spacing w:before="31" w:beforeLines="10" w:after="31" w:afterLines="10"/>
                    <w:jc w:val="center"/>
                    <w:rPr>
                      <w:rFonts w:ascii="Times New Roman" w:hAnsi="Times New Roman" w:eastAsia="宋体"/>
                      <w:b w:val="0"/>
                      <w:bCs w:val="0"/>
                      <w:szCs w:val="21"/>
                      <w:highlight w:val="none"/>
                    </w:rPr>
                  </w:pPr>
                  <w:r>
                    <w:rPr>
                      <w:rFonts w:ascii="Times New Roman" w:hAnsi="Times New Roman" w:eastAsia="宋体"/>
                      <w:b w:val="0"/>
                      <w:bCs w:val="0"/>
                      <w:szCs w:val="21"/>
                      <w:highlight w:val="none"/>
                    </w:rPr>
                    <w:t>检测结果L</w:t>
                  </w:r>
                  <w:r>
                    <w:rPr>
                      <w:rFonts w:ascii="Times New Roman" w:hAnsi="Times New Roman" w:eastAsia="宋体"/>
                      <w:b w:val="0"/>
                      <w:bCs w:val="0"/>
                      <w:szCs w:val="21"/>
                      <w:highlight w:val="none"/>
                      <w:vertAlign w:val="subscript"/>
                    </w:rPr>
                    <w:t>eq</w:t>
                  </w:r>
                  <w:r>
                    <w:rPr>
                      <w:rFonts w:ascii="Times New Roman" w:hAnsi="Times New Roman" w:eastAsia="宋体"/>
                      <w:b w:val="0"/>
                      <w:bCs w:val="0"/>
                      <w:szCs w:val="21"/>
                      <w:highlight w:val="none"/>
                    </w:rPr>
                    <w:t>[dB（A）]</w:t>
                  </w:r>
                </w:p>
              </w:tc>
              <w:tc>
                <w:tcPr>
                  <w:tcW w:w="653" w:type="pct"/>
                  <w:vMerge w:val="restart"/>
                  <w:tcBorders>
                    <w:tl2br w:val="nil"/>
                    <w:tr2bl w:val="nil"/>
                  </w:tcBorders>
                  <w:vAlign w:val="center"/>
                </w:tcPr>
                <w:p w14:paraId="4D10D9A9">
                  <w:pPr>
                    <w:spacing w:before="31" w:beforeLines="10" w:after="31" w:afterLines="10"/>
                    <w:jc w:val="center"/>
                    <w:rPr>
                      <w:rFonts w:ascii="Times New Roman" w:hAnsi="Times New Roman" w:eastAsia="宋体"/>
                      <w:b w:val="0"/>
                      <w:bCs w:val="0"/>
                      <w:szCs w:val="21"/>
                      <w:highlight w:val="none"/>
                    </w:rPr>
                  </w:pPr>
                  <w:r>
                    <w:rPr>
                      <w:rFonts w:hint="eastAsia" w:ascii="Times New Roman" w:hAnsi="Times New Roman" w:eastAsia="宋体"/>
                      <w:b w:val="0"/>
                      <w:bCs w:val="0"/>
                      <w:szCs w:val="21"/>
                      <w:highlight w:val="none"/>
                      <w:lang w:eastAsia="zh-CN"/>
                    </w:rPr>
                    <w:t>标准限值</w:t>
                  </w:r>
                  <w:r>
                    <w:rPr>
                      <w:rFonts w:ascii="Times New Roman" w:hAnsi="Times New Roman" w:eastAsia="宋体"/>
                      <w:b w:val="0"/>
                      <w:bCs w:val="0"/>
                      <w:szCs w:val="21"/>
                      <w:highlight w:val="none"/>
                    </w:rPr>
                    <w:t>L</w:t>
                  </w:r>
                  <w:r>
                    <w:rPr>
                      <w:rFonts w:ascii="Times New Roman" w:hAnsi="Times New Roman" w:eastAsia="宋体"/>
                      <w:b w:val="0"/>
                      <w:bCs w:val="0"/>
                      <w:szCs w:val="21"/>
                      <w:highlight w:val="none"/>
                      <w:vertAlign w:val="subscript"/>
                    </w:rPr>
                    <w:t>eq</w:t>
                  </w:r>
                  <w:r>
                    <w:rPr>
                      <w:rFonts w:ascii="Times New Roman" w:hAnsi="Times New Roman" w:eastAsia="宋体"/>
                      <w:b w:val="0"/>
                      <w:bCs w:val="0"/>
                      <w:szCs w:val="21"/>
                      <w:highlight w:val="none"/>
                    </w:rPr>
                    <w:t>[dB（A）]</w:t>
                  </w:r>
                </w:p>
              </w:tc>
              <w:tc>
                <w:tcPr>
                  <w:tcW w:w="463" w:type="pct"/>
                  <w:vMerge w:val="restart"/>
                  <w:tcBorders>
                    <w:tl2br w:val="nil"/>
                    <w:tr2bl w:val="nil"/>
                  </w:tcBorders>
                  <w:vAlign w:val="center"/>
                </w:tcPr>
                <w:p w14:paraId="6A0B5D98">
                  <w:pPr>
                    <w:spacing w:before="31" w:beforeLines="10" w:after="31" w:afterLines="10"/>
                    <w:jc w:val="center"/>
                    <w:rPr>
                      <w:rFonts w:hint="eastAsia" w:ascii="Times New Roman" w:hAnsi="Times New Roman" w:eastAsia="宋体"/>
                      <w:b w:val="0"/>
                      <w:bCs w:val="0"/>
                      <w:szCs w:val="21"/>
                      <w:highlight w:val="none"/>
                      <w:lang w:eastAsia="zh-CN"/>
                    </w:rPr>
                  </w:pPr>
                  <w:r>
                    <w:rPr>
                      <w:rFonts w:hint="eastAsia" w:ascii="Times New Roman" w:hAnsi="Times New Roman" w:eastAsia="宋体"/>
                      <w:b w:val="0"/>
                      <w:bCs w:val="0"/>
                      <w:szCs w:val="21"/>
                      <w:highlight w:val="none"/>
                      <w:lang w:eastAsia="zh-CN"/>
                    </w:rPr>
                    <w:t>结果</w:t>
                  </w:r>
                </w:p>
                <w:p w14:paraId="75BFA6FB">
                  <w:pPr>
                    <w:spacing w:before="31" w:beforeLines="10" w:after="31" w:afterLines="10"/>
                    <w:jc w:val="center"/>
                    <w:rPr>
                      <w:rFonts w:hint="eastAsia" w:ascii="Times New Roman" w:hAnsi="Times New Roman" w:eastAsia="宋体"/>
                      <w:b w:val="0"/>
                      <w:bCs w:val="0"/>
                      <w:szCs w:val="21"/>
                      <w:highlight w:val="none"/>
                      <w:lang w:eastAsia="zh-CN"/>
                    </w:rPr>
                  </w:pPr>
                  <w:r>
                    <w:rPr>
                      <w:rFonts w:hint="eastAsia" w:ascii="Times New Roman" w:hAnsi="Times New Roman" w:eastAsia="宋体"/>
                      <w:b w:val="0"/>
                      <w:bCs w:val="0"/>
                      <w:szCs w:val="21"/>
                      <w:highlight w:val="none"/>
                      <w:lang w:eastAsia="zh-CN"/>
                    </w:rPr>
                    <w:t>评价</w:t>
                  </w:r>
                </w:p>
              </w:tc>
            </w:tr>
            <w:tr w14:paraId="320E2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22" w:type="pct"/>
                  <w:vMerge w:val="continue"/>
                  <w:tcBorders>
                    <w:tl2br w:val="nil"/>
                    <w:tr2bl w:val="nil"/>
                  </w:tcBorders>
                  <w:vAlign w:val="center"/>
                </w:tcPr>
                <w:p w14:paraId="29EB5B67">
                  <w:pPr>
                    <w:spacing w:before="31" w:beforeLines="10" w:after="31" w:afterLines="10"/>
                    <w:jc w:val="center"/>
                    <w:rPr>
                      <w:rFonts w:ascii="Times New Roman" w:hAnsi="Times New Roman" w:eastAsia="宋体"/>
                      <w:b w:val="0"/>
                      <w:bCs w:val="0"/>
                      <w:szCs w:val="21"/>
                      <w:highlight w:val="none"/>
                    </w:rPr>
                  </w:pPr>
                </w:p>
              </w:tc>
              <w:tc>
                <w:tcPr>
                  <w:tcW w:w="580" w:type="pct"/>
                  <w:vMerge w:val="continue"/>
                  <w:tcBorders>
                    <w:tl2br w:val="nil"/>
                    <w:tr2bl w:val="nil"/>
                  </w:tcBorders>
                  <w:vAlign w:val="center"/>
                </w:tcPr>
                <w:p w14:paraId="697096B3">
                  <w:pPr>
                    <w:spacing w:before="31" w:beforeLines="10" w:after="31" w:afterLines="10"/>
                    <w:jc w:val="center"/>
                    <w:rPr>
                      <w:rFonts w:hint="default" w:ascii="Times New Roman" w:hAnsi="Times New Roman" w:eastAsia="宋体"/>
                      <w:b w:val="0"/>
                      <w:bCs w:val="0"/>
                      <w:szCs w:val="21"/>
                      <w:highlight w:val="none"/>
                      <w:lang w:val="en-US" w:eastAsia="zh-CN"/>
                    </w:rPr>
                  </w:pPr>
                </w:p>
              </w:tc>
              <w:tc>
                <w:tcPr>
                  <w:tcW w:w="1119" w:type="pct"/>
                  <w:tcBorders>
                    <w:tl2br w:val="nil"/>
                    <w:tr2bl w:val="nil"/>
                  </w:tcBorders>
                  <w:vAlign w:val="center"/>
                </w:tcPr>
                <w:p w14:paraId="677B928B">
                  <w:pPr>
                    <w:keepNext w:val="0"/>
                    <w:keepLines w:val="0"/>
                    <w:pageBreakBefore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2"/>
                      <w:highlight w:val="none"/>
                      <w:lang w:val="en-US" w:eastAsia="zh-CN"/>
                    </w:rPr>
                    <w:t>采样日期：</w:t>
                  </w:r>
                  <w:r>
                    <w:rPr>
                      <w:rFonts w:hint="eastAsia" w:ascii="Times New Roman" w:hAnsi="Times New Roman" w:eastAsia="宋体" w:cs="Times New Roman"/>
                      <w:b w:val="0"/>
                      <w:bCs/>
                      <w:color w:val="000000"/>
                      <w:kern w:val="0"/>
                      <w:sz w:val="21"/>
                      <w:szCs w:val="21"/>
                      <w:highlight w:val="none"/>
                      <w:lang w:val="en-US" w:eastAsia="zh-CN"/>
                    </w:rPr>
                    <w:t>2024.08.28</w:t>
                  </w:r>
                </w:p>
              </w:tc>
              <w:tc>
                <w:tcPr>
                  <w:tcW w:w="1060" w:type="pct"/>
                  <w:tcBorders>
                    <w:tl2br w:val="nil"/>
                    <w:tr2bl w:val="nil"/>
                  </w:tcBorders>
                  <w:vAlign w:val="center"/>
                </w:tcPr>
                <w:p w14:paraId="58F583C6">
                  <w:pPr>
                    <w:keepNext w:val="0"/>
                    <w:keepLines w:val="0"/>
                    <w:pageBreakBefore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2"/>
                      <w:highlight w:val="none"/>
                      <w:lang w:val="en-US" w:eastAsia="zh-CN"/>
                    </w:rPr>
                    <w:t>采样日期：</w:t>
                  </w:r>
                  <w:r>
                    <w:rPr>
                      <w:rFonts w:hint="eastAsia" w:ascii="Times New Roman" w:hAnsi="Times New Roman" w:eastAsia="宋体" w:cs="Times New Roman"/>
                      <w:b w:val="0"/>
                      <w:bCs/>
                      <w:color w:val="000000"/>
                      <w:kern w:val="0"/>
                      <w:sz w:val="21"/>
                      <w:szCs w:val="21"/>
                      <w:highlight w:val="none"/>
                      <w:lang w:val="en-US" w:eastAsia="zh-CN"/>
                    </w:rPr>
                    <w:t>2024.08.29</w:t>
                  </w:r>
                </w:p>
              </w:tc>
              <w:tc>
                <w:tcPr>
                  <w:tcW w:w="653" w:type="pct"/>
                  <w:vMerge w:val="continue"/>
                  <w:tcBorders>
                    <w:tl2br w:val="nil"/>
                    <w:tr2bl w:val="nil"/>
                  </w:tcBorders>
                  <w:vAlign w:val="center"/>
                </w:tcPr>
                <w:p w14:paraId="1993F44F">
                  <w:pPr>
                    <w:spacing w:before="31" w:beforeLines="10" w:after="31" w:afterLines="10"/>
                    <w:jc w:val="center"/>
                    <w:rPr>
                      <w:rFonts w:hint="eastAsia" w:ascii="Times New Roman" w:hAnsi="Times New Roman" w:eastAsia="宋体"/>
                      <w:b w:val="0"/>
                      <w:bCs w:val="0"/>
                      <w:szCs w:val="21"/>
                      <w:highlight w:val="none"/>
                      <w:lang w:eastAsia="zh-CN"/>
                    </w:rPr>
                  </w:pPr>
                </w:p>
              </w:tc>
              <w:tc>
                <w:tcPr>
                  <w:tcW w:w="463" w:type="pct"/>
                  <w:vMerge w:val="continue"/>
                  <w:tcBorders>
                    <w:tl2br w:val="nil"/>
                    <w:tr2bl w:val="nil"/>
                  </w:tcBorders>
                  <w:vAlign w:val="center"/>
                </w:tcPr>
                <w:p w14:paraId="0162A796">
                  <w:pPr>
                    <w:spacing w:before="31" w:beforeLines="10" w:after="31" w:afterLines="10"/>
                    <w:jc w:val="center"/>
                    <w:rPr>
                      <w:rFonts w:hint="eastAsia" w:ascii="Times New Roman" w:hAnsi="Times New Roman" w:eastAsia="宋体"/>
                      <w:b w:val="0"/>
                      <w:bCs w:val="0"/>
                      <w:szCs w:val="21"/>
                      <w:highlight w:val="none"/>
                      <w:lang w:eastAsia="zh-CN"/>
                    </w:rPr>
                  </w:pPr>
                </w:p>
              </w:tc>
            </w:tr>
            <w:tr w14:paraId="48C76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restart"/>
                  <w:tcBorders>
                    <w:tl2br w:val="nil"/>
                    <w:tr2bl w:val="nil"/>
                  </w:tcBorders>
                  <w:vAlign w:val="center"/>
                </w:tcPr>
                <w:p w14:paraId="3F7C11E9">
                  <w:pPr>
                    <w:keepNext w:val="0"/>
                    <w:keepLines w:val="0"/>
                    <w:pageBreakBefore w:val="0"/>
                    <w:widowControl w:val="0"/>
                    <w:kinsoku/>
                    <w:wordWrap/>
                    <w:overflowPunct/>
                    <w:topLinePunct w:val="0"/>
                    <w:autoSpaceDE/>
                    <w:autoSpaceDN/>
                    <w:bidi w:val="0"/>
                    <w:adjustRightInd w:val="0"/>
                    <w:snapToGrid/>
                    <w:spacing w:line="240" w:lineRule="auto"/>
                    <w:ind w:right="0" w:rightChars="0"/>
                    <w:jc w:val="center"/>
                    <w:textAlignment w:val="auto"/>
                    <w:rPr>
                      <w:rFonts w:hint="eastAsia" w:ascii="Times New Roman" w:hAnsi="Times New Roman" w:eastAsia="宋体"/>
                      <w:szCs w:val="21"/>
                      <w:highlight w:val="none"/>
                      <w:lang w:val="en-US" w:eastAsia="zh-CN"/>
                    </w:rPr>
                  </w:pPr>
                  <w:r>
                    <w:rPr>
                      <w:rFonts w:hint="eastAsia" w:ascii="Times New Roman" w:hAnsi="Times New Roman" w:eastAsia="宋体" w:cs="宋体"/>
                      <w:sz w:val="21"/>
                      <w:szCs w:val="21"/>
                      <w:highlight w:val="none"/>
                      <w:lang w:val="en-US" w:eastAsia="zh-CN"/>
                    </w:rPr>
                    <w:t>东面一、二期厂界外1米处N1</w:t>
                  </w:r>
                </w:p>
              </w:tc>
              <w:tc>
                <w:tcPr>
                  <w:tcW w:w="580" w:type="pct"/>
                  <w:tcBorders>
                    <w:tl2br w:val="nil"/>
                    <w:tr2bl w:val="nil"/>
                  </w:tcBorders>
                  <w:vAlign w:val="center"/>
                </w:tcPr>
                <w:p w14:paraId="6F20E40D">
                  <w:pPr>
                    <w:spacing w:before="31" w:beforeLines="10" w:after="31" w:afterLines="10"/>
                    <w:jc w:val="center"/>
                    <w:rPr>
                      <w:rFonts w:hint="default" w:ascii="Times New Roman" w:hAnsi="Times New Roman" w:eastAsia="宋体"/>
                      <w:b w:val="0"/>
                      <w:bCs w:val="0"/>
                      <w:szCs w:val="21"/>
                      <w:highlight w:val="none"/>
                      <w:lang w:val="en-US" w:eastAsia="zh-CN"/>
                    </w:rPr>
                  </w:pPr>
                  <w:r>
                    <w:rPr>
                      <w:rFonts w:ascii="Times New Roman" w:hAnsi="Times New Roman" w:eastAsia="宋体"/>
                      <w:szCs w:val="21"/>
                      <w:highlight w:val="none"/>
                    </w:rPr>
                    <w:t>昼间</w:t>
                  </w:r>
                </w:p>
              </w:tc>
              <w:tc>
                <w:tcPr>
                  <w:tcW w:w="1119" w:type="pct"/>
                  <w:tcBorders>
                    <w:tl2br w:val="nil"/>
                    <w:tr2bl w:val="nil"/>
                  </w:tcBorders>
                  <w:vAlign w:val="center"/>
                </w:tcPr>
                <w:p w14:paraId="67D9867E">
                  <w:pPr>
                    <w:spacing w:before="31" w:beforeLines="10" w:after="31" w:afterLines="10"/>
                    <w:jc w:val="center"/>
                    <w:rPr>
                      <w:rFonts w:hint="default" w:ascii="Times New Roman" w:hAnsi="Times New Roman" w:eastAsia="宋体"/>
                      <w:b w:val="0"/>
                      <w:bCs w:val="0"/>
                      <w:szCs w:val="21"/>
                      <w:highlight w:val="none"/>
                      <w:lang w:val="en-US" w:eastAsia="zh-CN"/>
                    </w:rPr>
                  </w:pPr>
                  <w:r>
                    <w:rPr>
                      <w:rFonts w:hint="eastAsia" w:ascii="Times New Roman" w:hAnsi="Times New Roman" w:eastAsia="宋体"/>
                      <w:b w:val="0"/>
                      <w:bCs w:val="0"/>
                      <w:szCs w:val="21"/>
                      <w:highlight w:val="none"/>
                      <w:lang w:val="en-US" w:eastAsia="zh-CN"/>
                    </w:rPr>
                    <w:t>48</w:t>
                  </w:r>
                </w:p>
              </w:tc>
              <w:tc>
                <w:tcPr>
                  <w:tcW w:w="1060" w:type="pct"/>
                  <w:tcBorders>
                    <w:tl2br w:val="nil"/>
                    <w:tr2bl w:val="nil"/>
                  </w:tcBorders>
                  <w:vAlign w:val="center"/>
                </w:tcPr>
                <w:p w14:paraId="453A6606">
                  <w:pPr>
                    <w:spacing w:before="31" w:beforeLines="10" w:after="31" w:afterLines="10"/>
                    <w:jc w:val="center"/>
                    <w:rPr>
                      <w:rFonts w:hint="default" w:ascii="Times New Roman" w:hAnsi="Times New Roman" w:eastAsia="宋体"/>
                      <w:b w:val="0"/>
                      <w:bCs w:val="0"/>
                      <w:szCs w:val="21"/>
                      <w:highlight w:val="none"/>
                      <w:lang w:val="en-US" w:eastAsia="zh-CN"/>
                    </w:rPr>
                  </w:pPr>
                  <w:r>
                    <w:rPr>
                      <w:rFonts w:hint="eastAsia" w:ascii="Times New Roman" w:hAnsi="Times New Roman" w:eastAsia="宋体"/>
                      <w:b w:val="0"/>
                      <w:bCs w:val="0"/>
                      <w:szCs w:val="21"/>
                      <w:highlight w:val="none"/>
                      <w:lang w:val="en-US" w:eastAsia="zh-CN"/>
                    </w:rPr>
                    <w:t>49</w:t>
                  </w:r>
                </w:p>
              </w:tc>
              <w:tc>
                <w:tcPr>
                  <w:tcW w:w="653" w:type="pct"/>
                  <w:tcBorders>
                    <w:tl2br w:val="nil"/>
                    <w:tr2bl w:val="nil"/>
                  </w:tcBorders>
                  <w:vAlign w:val="center"/>
                </w:tcPr>
                <w:p w14:paraId="271C36AB">
                  <w:pPr>
                    <w:spacing w:before="31" w:beforeLines="10" w:after="31" w:afterLines="10"/>
                    <w:jc w:val="center"/>
                    <w:rPr>
                      <w:rFonts w:hint="default"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60</w:t>
                  </w:r>
                </w:p>
              </w:tc>
              <w:tc>
                <w:tcPr>
                  <w:tcW w:w="463" w:type="pct"/>
                  <w:tcBorders>
                    <w:tl2br w:val="nil"/>
                    <w:tr2bl w:val="nil"/>
                  </w:tcBorders>
                  <w:vAlign w:val="center"/>
                </w:tcPr>
                <w:p w14:paraId="3EA2DA27">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0F86C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1122" w:type="pct"/>
                  <w:vMerge w:val="continue"/>
                  <w:tcBorders>
                    <w:tl2br w:val="nil"/>
                    <w:tr2bl w:val="nil"/>
                  </w:tcBorders>
                  <w:vAlign w:val="center"/>
                </w:tcPr>
                <w:p w14:paraId="5CA4921D">
                  <w:pPr>
                    <w:snapToGrid w:val="0"/>
                    <w:spacing w:line="240" w:lineRule="auto"/>
                    <w:jc w:val="center"/>
                    <w:rPr>
                      <w:rFonts w:hint="eastAsia" w:ascii="Times New Roman" w:hAnsi="Times New Roman" w:eastAsia="宋体" w:cs="宋体"/>
                      <w:sz w:val="21"/>
                      <w:szCs w:val="21"/>
                      <w:highlight w:val="none"/>
                      <w:lang w:val="en-US" w:eastAsia="zh-CN"/>
                    </w:rPr>
                  </w:pPr>
                </w:p>
              </w:tc>
              <w:tc>
                <w:tcPr>
                  <w:tcW w:w="580" w:type="pct"/>
                  <w:tcBorders>
                    <w:tl2br w:val="nil"/>
                    <w:tr2bl w:val="nil"/>
                  </w:tcBorders>
                  <w:vAlign w:val="center"/>
                </w:tcPr>
                <w:p w14:paraId="37F59F44">
                  <w:pPr>
                    <w:spacing w:before="31" w:beforeLines="10" w:after="31" w:afterLines="10"/>
                    <w:jc w:val="center"/>
                    <w:rPr>
                      <w:rFonts w:hint="eastAsia"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szCs w:val="21"/>
                      <w:highlight w:val="none"/>
                      <w:lang w:val="en-US" w:eastAsia="zh-CN"/>
                    </w:rPr>
                    <w:t>夜间</w:t>
                  </w:r>
                </w:p>
              </w:tc>
              <w:tc>
                <w:tcPr>
                  <w:tcW w:w="1119" w:type="pct"/>
                  <w:tcBorders>
                    <w:tl2br w:val="nil"/>
                    <w:tr2bl w:val="nil"/>
                  </w:tcBorders>
                  <w:vAlign w:val="center"/>
                </w:tcPr>
                <w:p w14:paraId="46FDD665">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41</w:t>
                  </w:r>
                </w:p>
              </w:tc>
              <w:tc>
                <w:tcPr>
                  <w:tcW w:w="1060" w:type="pct"/>
                  <w:tcBorders>
                    <w:tl2br w:val="nil"/>
                    <w:tr2bl w:val="nil"/>
                  </w:tcBorders>
                  <w:vAlign w:val="center"/>
                </w:tcPr>
                <w:p w14:paraId="431736BD">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41</w:t>
                  </w:r>
                </w:p>
              </w:tc>
              <w:tc>
                <w:tcPr>
                  <w:tcW w:w="653" w:type="pct"/>
                  <w:tcBorders>
                    <w:tl2br w:val="nil"/>
                    <w:tr2bl w:val="nil"/>
                  </w:tcBorders>
                  <w:vAlign w:val="center"/>
                </w:tcPr>
                <w:p w14:paraId="1D8C5E37">
                  <w:pPr>
                    <w:spacing w:before="31" w:beforeLines="10" w:after="31" w:afterLines="10"/>
                    <w:jc w:val="center"/>
                    <w:rPr>
                      <w:rFonts w:hint="default" w:ascii="Times New Roman" w:hAnsi="Times New Roman" w:eastAsia="宋体" w:cstheme="minorBidi"/>
                      <w:kern w:val="2"/>
                      <w:sz w:val="21"/>
                      <w:szCs w:val="21"/>
                      <w:highlight w:val="none"/>
                      <w:lang w:val="en-US" w:eastAsia="zh-CN" w:bidi="ar-SA"/>
                    </w:rPr>
                  </w:pPr>
                  <w:r>
                    <w:rPr>
                      <w:rFonts w:hint="eastAsia" w:ascii="Times New Roman" w:hAnsi="Times New Roman" w:eastAsia="宋体" w:cstheme="minorBidi"/>
                      <w:kern w:val="2"/>
                      <w:sz w:val="21"/>
                      <w:szCs w:val="21"/>
                      <w:highlight w:val="none"/>
                      <w:lang w:val="en-US" w:eastAsia="zh-CN" w:bidi="ar-SA"/>
                    </w:rPr>
                    <w:t>50</w:t>
                  </w:r>
                </w:p>
              </w:tc>
              <w:tc>
                <w:tcPr>
                  <w:tcW w:w="463" w:type="pct"/>
                  <w:tcBorders>
                    <w:tl2br w:val="nil"/>
                    <w:tr2bl w:val="nil"/>
                  </w:tcBorders>
                  <w:vAlign w:val="center"/>
                </w:tcPr>
                <w:p w14:paraId="7691E1AB">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szCs w:val="21"/>
                      <w:highlight w:val="none"/>
                      <w:lang w:eastAsia="zh-CN"/>
                    </w:rPr>
                    <w:t>达标</w:t>
                  </w:r>
                </w:p>
              </w:tc>
            </w:tr>
            <w:tr w14:paraId="5F1D3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restart"/>
                  <w:tcBorders>
                    <w:tl2br w:val="nil"/>
                    <w:tr2bl w:val="nil"/>
                  </w:tcBorders>
                  <w:vAlign w:val="center"/>
                </w:tcPr>
                <w:p w14:paraId="6027783C">
                  <w:pPr>
                    <w:keepNext w:val="0"/>
                    <w:keepLines w:val="0"/>
                    <w:pageBreakBefore w:val="0"/>
                    <w:widowControl w:val="0"/>
                    <w:kinsoku/>
                    <w:wordWrap/>
                    <w:overflowPunct/>
                    <w:topLinePunct w:val="0"/>
                    <w:autoSpaceDE/>
                    <w:autoSpaceDN/>
                    <w:bidi w:val="0"/>
                    <w:adjustRightInd w:val="0"/>
                    <w:snapToGrid/>
                    <w:spacing w:line="240" w:lineRule="auto"/>
                    <w:ind w:right="0" w:rightChars="0"/>
                    <w:jc w:val="center"/>
                    <w:textAlignment w:val="auto"/>
                    <w:rPr>
                      <w:rFonts w:hint="default" w:ascii="Times New Roman" w:hAnsi="Times New Roman" w:eastAsia="宋体"/>
                      <w:szCs w:val="21"/>
                      <w:highlight w:val="none"/>
                      <w:lang w:val="en-US"/>
                    </w:rPr>
                  </w:pPr>
                  <w:r>
                    <w:rPr>
                      <w:rFonts w:hint="eastAsia" w:ascii="Times New Roman" w:hAnsi="Times New Roman" w:eastAsia="宋体" w:cs="宋体"/>
                      <w:sz w:val="21"/>
                      <w:szCs w:val="21"/>
                      <w:highlight w:val="none"/>
                      <w:lang w:val="en-US" w:eastAsia="zh-CN"/>
                    </w:rPr>
                    <w:t>南面一、二期厂界外1米处N2</w:t>
                  </w:r>
                </w:p>
              </w:tc>
              <w:tc>
                <w:tcPr>
                  <w:tcW w:w="580" w:type="pct"/>
                  <w:tcBorders>
                    <w:tl2br w:val="nil"/>
                    <w:tr2bl w:val="nil"/>
                  </w:tcBorders>
                  <w:vAlign w:val="center"/>
                </w:tcPr>
                <w:p w14:paraId="4D805805">
                  <w:pPr>
                    <w:spacing w:before="31" w:beforeLines="10" w:after="31" w:afterLines="10"/>
                    <w:jc w:val="center"/>
                    <w:rPr>
                      <w:rFonts w:hint="default" w:ascii="Times New Roman" w:hAnsi="Times New Roman" w:eastAsia="宋体"/>
                      <w:b w:val="0"/>
                      <w:bCs w:val="0"/>
                      <w:szCs w:val="21"/>
                      <w:highlight w:val="none"/>
                      <w:lang w:val="en-US" w:eastAsia="zh-CN"/>
                    </w:rPr>
                  </w:pPr>
                  <w:r>
                    <w:rPr>
                      <w:rFonts w:ascii="Times New Roman" w:hAnsi="Times New Roman" w:eastAsia="宋体"/>
                      <w:szCs w:val="21"/>
                      <w:highlight w:val="none"/>
                    </w:rPr>
                    <w:t>昼间</w:t>
                  </w:r>
                </w:p>
              </w:tc>
              <w:tc>
                <w:tcPr>
                  <w:tcW w:w="1119" w:type="pct"/>
                  <w:tcBorders>
                    <w:tl2br w:val="nil"/>
                    <w:tr2bl w:val="nil"/>
                  </w:tcBorders>
                  <w:vAlign w:val="center"/>
                </w:tcPr>
                <w:p w14:paraId="35F8F3C3">
                  <w:pPr>
                    <w:spacing w:before="31" w:beforeLines="10" w:after="31" w:afterLines="10"/>
                    <w:jc w:val="center"/>
                    <w:rPr>
                      <w:rFonts w:hint="default" w:ascii="Times New Roman" w:hAnsi="Times New Roman" w:eastAsia="宋体"/>
                      <w:b w:val="0"/>
                      <w:bCs w:val="0"/>
                      <w:szCs w:val="21"/>
                      <w:highlight w:val="none"/>
                      <w:lang w:val="en-US" w:eastAsia="zh-CN"/>
                    </w:rPr>
                  </w:pPr>
                  <w:r>
                    <w:rPr>
                      <w:rFonts w:hint="eastAsia" w:ascii="Times New Roman" w:hAnsi="Times New Roman" w:eastAsia="宋体"/>
                      <w:b w:val="0"/>
                      <w:bCs w:val="0"/>
                      <w:szCs w:val="21"/>
                      <w:highlight w:val="none"/>
                      <w:lang w:val="en-US" w:eastAsia="zh-CN"/>
                    </w:rPr>
                    <w:t>52</w:t>
                  </w:r>
                </w:p>
              </w:tc>
              <w:tc>
                <w:tcPr>
                  <w:tcW w:w="1060" w:type="pct"/>
                  <w:tcBorders>
                    <w:tl2br w:val="nil"/>
                    <w:tr2bl w:val="nil"/>
                  </w:tcBorders>
                  <w:vAlign w:val="center"/>
                </w:tcPr>
                <w:p w14:paraId="56000287">
                  <w:pPr>
                    <w:spacing w:before="31" w:beforeLines="10" w:after="31" w:afterLines="10"/>
                    <w:jc w:val="center"/>
                    <w:rPr>
                      <w:rFonts w:hint="default" w:ascii="Times New Roman" w:hAnsi="Times New Roman" w:eastAsia="宋体"/>
                      <w:b w:val="0"/>
                      <w:bCs w:val="0"/>
                      <w:szCs w:val="21"/>
                      <w:highlight w:val="none"/>
                      <w:lang w:val="en-US" w:eastAsia="zh-CN"/>
                    </w:rPr>
                  </w:pPr>
                  <w:r>
                    <w:rPr>
                      <w:rFonts w:hint="eastAsia" w:ascii="Times New Roman" w:hAnsi="Times New Roman" w:eastAsia="宋体"/>
                      <w:b w:val="0"/>
                      <w:bCs w:val="0"/>
                      <w:szCs w:val="21"/>
                      <w:highlight w:val="none"/>
                      <w:lang w:val="en-US" w:eastAsia="zh-CN"/>
                    </w:rPr>
                    <w:t>52</w:t>
                  </w:r>
                </w:p>
              </w:tc>
              <w:tc>
                <w:tcPr>
                  <w:tcW w:w="653" w:type="pct"/>
                  <w:tcBorders>
                    <w:tl2br w:val="nil"/>
                    <w:tr2bl w:val="nil"/>
                  </w:tcBorders>
                  <w:vAlign w:val="center"/>
                </w:tcPr>
                <w:p w14:paraId="57D9D93C">
                  <w:pPr>
                    <w:spacing w:before="31" w:beforeLines="10" w:after="31" w:afterLines="10"/>
                    <w:jc w:val="center"/>
                    <w:rPr>
                      <w:rFonts w:hint="default" w:ascii="Times New Roman" w:hAnsi="Times New Roman" w:eastAsia="宋体" w:cstheme="minorBidi"/>
                      <w:kern w:val="2"/>
                      <w:sz w:val="21"/>
                      <w:szCs w:val="21"/>
                      <w:highlight w:val="none"/>
                      <w:lang w:val="en-US" w:eastAsia="zh-CN" w:bidi="ar-SA"/>
                    </w:rPr>
                  </w:pPr>
                  <w:r>
                    <w:rPr>
                      <w:rFonts w:hint="eastAsia" w:ascii="Times New Roman" w:hAnsi="Times New Roman" w:eastAsia="宋体"/>
                      <w:szCs w:val="21"/>
                      <w:highlight w:val="none"/>
                      <w:lang w:val="en-US" w:eastAsia="zh-CN"/>
                    </w:rPr>
                    <w:t>60</w:t>
                  </w:r>
                </w:p>
              </w:tc>
              <w:tc>
                <w:tcPr>
                  <w:tcW w:w="463" w:type="pct"/>
                  <w:tcBorders>
                    <w:tl2br w:val="nil"/>
                    <w:tr2bl w:val="nil"/>
                  </w:tcBorders>
                  <w:vAlign w:val="center"/>
                </w:tcPr>
                <w:p w14:paraId="555533D7">
                  <w:pPr>
                    <w:spacing w:before="31" w:beforeLines="10" w:after="31" w:afterLines="10"/>
                    <w:jc w:val="center"/>
                    <w:rPr>
                      <w:rFonts w:hint="eastAsia" w:ascii="Times New Roman" w:hAnsi="Times New Roman" w:eastAsia="宋体"/>
                      <w:szCs w:val="21"/>
                      <w:highlight w:val="none"/>
                    </w:rPr>
                  </w:pPr>
                  <w:r>
                    <w:rPr>
                      <w:rFonts w:hint="eastAsia" w:ascii="Times New Roman" w:hAnsi="Times New Roman" w:eastAsia="宋体"/>
                      <w:szCs w:val="21"/>
                      <w:highlight w:val="none"/>
                      <w:lang w:eastAsia="zh-CN"/>
                    </w:rPr>
                    <w:t>达标</w:t>
                  </w:r>
                </w:p>
              </w:tc>
            </w:tr>
            <w:tr w14:paraId="1EE7B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trPr>
              <w:tc>
                <w:tcPr>
                  <w:tcW w:w="1122" w:type="pct"/>
                  <w:vMerge w:val="continue"/>
                  <w:tcBorders>
                    <w:tl2br w:val="nil"/>
                    <w:tr2bl w:val="nil"/>
                  </w:tcBorders>
                  <w:vAlign w:val="center"/>
                </w:tcPr>
                <w:p w14:paraId="551808B3">
                  <w:pPr>
                    <w:snapToGrid w:val="0"/>
                    <w:spacing w:line="240" w:lineRule="auto"/>
                    <w:jc w:val="center"/>
                    <w:rPr>
                      <w:rFonts w:hint="eastAsia" w:ascii="Times New Roman" w:hAnsi="Times New Roman" w:eastAsia="宋体" w:cs="宋体"/>
                      <w:sz w:val="21"/>
                      <w:szCs w:val="21"/>
                      <w:highlight w:val="none"/>
                      <w:lang w:val="en-US" w:eastAsia="zh-CN"/>
                    </w:rPr>
                  </w:pPr>
                </w:p>
              </w:tc>
              <w:tc>
                <w:tcPr>
                  <w:tcW w:w="580" w:type="pct"/>
                  <w:tcBorders>
                    <w:tl2br w:val="nil"/>
                    <w:tr2bl w:val="nil"/>
                  </w:tcBorders>
                  <w:vAlign w:val="center"/>
                </w:tcPr>
                <w:p w14:paraId="0516BD01">
                  <w:pPr>
                    <w:spacing w:before="31" w:beforeLines="10" w:after="31" w:afterLines="10"/>
                    <w:jc w:val="center"/>
                    <w:rPr>
                      <w:rFonts w:hint="eastAsia"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szCs w:val="21"/>
                      <w:highlight w:val="none"/>
                      <w:lang w:val="en-US" w:eastAsia="zh-CN"/>
                    </w:rPr>
                    <w:t>夜间</w:t>
                  </w:r>
                </w:p>
              </w:tc>
              <w:tc>
                <w:tcPr>
                  <w:tcW w:w="1119" w:type="pct"/>
                  <w:tcBorders>
                    <w:tl2br w:val="nil"/>
                    <w:tr2bl w:val="nil"/>
                  </w:tcBorders>
                  <w:vAlign w:val="center"/>
                </w:tcPr>
                <w:p w14:paraId="4AF07678">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40</w:t>
                  </w:r>
                </w:p>
              </w:tc>
              <w:tc>
                <w:tcPr>
                  <w:tcW w:w="1060" w:type="pct"/>
                  <w:tcBorders>
                    <w:tl2br w:val="nil"/>
                    <w:tr2bl w:val="nil"/>
                  </w:tcBorders>
                  <w:vAlign w:val="center"/>
                </w:tcPr>
                <w:p w14:paraId="37FC4B49">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39</w:t>
                  </w:r>
                </w:p>
              </w:tc>
              <w:tc>
                <w:tcPr>
                  <w:tcW w:w="653" w:type="pct"/>
                  <w:tcBorders>
                    <w:tl2br w:val="nil"/>
                    <w:tr2bl w:val="nil"/>
                  </w:tcBorders>
                  <w:vAlign w:val="center"/>
                </w:tcPr>
                <w:p w14:paraId="3A2AEABA">
                  <w:pPr>
                    <w:spacing w:before="31" w:beforeLines="10" w:after="31" w:afterLines="10"/>
                    <w:jc w:val="center"/>
                    <w:rPr>
                      <w:rFonts w:hint="default" w:ascii="Times New Roman" w:hAnsi="Times New Roman" w:eastAsia="宋体" w:cstheme="minorBidi"/>
                      <w:kern w:val="2"/>
                      <w:sz w:val="21"/>
                      <w:szCs w:val="21"/>
                      <w:highlight w:val="none"/>
                      <w:lang w:val="en-US" w:eastAsia="zh-CN" w:bidi="ar-SA"/>
                    </w:rPr>
                  </w:pPr>
                  <w:r>
                    <w:rPr>
                      <w:rFonts w:hint="eastAsia" w:ascii="Times New Roman" w:hAnsi="Times New Roman" w:eastAsia="宋体" w:cstheme="minorBidi"/>
                      <w:kern w:val="2"/>
                      <w:sz w:val="21"/>
                      <w:szCs w:val="21"/>
                      <w:highlight w:val="none"/>
                      <w:lang w:val="en-US" w:eastAsia="zh-CN" w:bidi="ar-SA"/>
                    </w:rPr>
                    <w:t>50</w:t>
                  </w:r>
                </w:p>
              </w:tc>
              <w:tc>
                <w:tcPr>
                  <w:tcW w:w="463" w:type="pct"/>
                  <w:tcBorders>
                    <w:tl2br w:val="nil"/>
                    <w:tr2bl w:val="nil"/>
                  </w:tcBorders>
                  <w:vAlign w:val="center"/>
                </w:tcPr>
                <w:p w14:paraId="71259CEF">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szCs w:val="21"/>
                      <w:highlight w:val="none"/>
                      <w:lang w:eastAsia="zh-CN"/>
                    </w:rPr>
                    <w:t>达标</w:t>
                  </w:r>
                </w:p>
              </w:tc>
            </w:tr>
            <w:tr w14:paraId="228F4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restart"/>
                  <w:tcBorders>
                    <w:tl2br w:val="nil"/>
                    <w:tr2bl w:val="nil"/>
                  </w:tcBorders>
                  <w:vAlign w:val="center"/>
                </w:tcPr>
                <w:p w14:paraId="505521CE">
                  <w:pPr>
                    <w:keepNext w:val="0"/>
                    <w:keepLines w:val="0"/>
                    <w:pageBreakBefore w:val="0"/>
                    <w:widowControl w:val="0"/>
                    <w:kinsoku/>
                    <w:wordWrap/>
                    <w:overflowPunct/>
                    <w:topLinePunct w:val="0"/>
                    <w:autoSpaceDE/>
                    <w:autoSpaceDN/>
                    <w:bidi w:val="0"/>
                    <w:adjustRightInd w:val="0"/>
                    <w:snapToGrid/>
                    <w:spacing w:line="240" w:lineRule="auto"/>
                    <w:ind w:right="0" w:rightChars="0"/>
                    <w:jc w:val="center"/>
                    <w:textAlignment w:val="auto"/>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西面一、二期厂界外1米处N3</w:t>
                  </w:r>
                </w:p>
              </w:tc>
              <w:tc>
                <w:tcPr>
                  <w:tcW w:w="580" w:type="pct"/>
                  <w:tcBorders>
                    <w:tl2br w:val="nil"/>
                    <w:tr2bl w:val="nil"/>
                  </w:tcBorders>
                  <w:vAlign w:val="center"/>
                </w:tcPr>
                <w:p w14:paraId="2413908A">
                  <w:pPr>
                    <w:spacing w:before="31" w:beforeLines="10" w:after="31" w:afterLines="10"/>
                    <w:jc w:val="center"/>
                    <w:rPr>
                      <w:rFonts w:hint="eastAsia" w:ascii="Times New Roman" w:hAnsi="Times New Roman" w:eastAsia="宋体" w:cstheme="minorBidi"/>
                      <w:b w:val="0"/>
                      <w:bCs w:val="0"/>
                      <w:kern w:val="2"/>
                      <w:sz w:val="21"/>
                      <w:szCs w:val="21"/>
                      <w:highlight w:val="none"/>
                      <w:lang w:val="en-US" w:eastAsia="zh-CN" w:bidi="ar-SA"/>
                    </w:rPr>
                  </w:pPr>
                  <w:r>
                    <w:rPr>
                      <w:rFonts w:ascii="Times New Roman" w:hAnsi="Times New Roman" w:eastAsia="宋体"/>
                      <w:szCs w:val="21"/>
                      <w:highlight w:val="none"/>
                    </w:rPr>
                    <w:t>昼间</w:t>
                  </w:r>
                </w:p>
              </w:tc>
              <w:tc>
                <w:tcPr>
                  <w:tcW w:w="1119" w:type="pct"/>
                  <w:tcBorders>
                    <w:tl2br w:val="nil"/>
                    <w:tr2bl w:val="nil"/>
                  </w:tcBorders>
                  <w:vAlign w:val="center"/>
                </w:tcPr>
                <w:p w14:paraId="3BC2B141">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41</w:t>
                  </w:r>
                </w:p>
              </w:tc>
              <w:tc>
                <w:tcPr>
                  <w:tcW w:w="1060" w:type="pct"/>
                  <w:tcBorders>
                    <w:tl2br w:val="nil"/>
                    <w:tr2bl w:val="nil"/>
                  </w:tcBorders>
                  <w:vAlign w:val="center"/>
                </w:tcPr>
                <w:p w14:paraId="3F3EBF9D">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42</w:t>
                  </w:r>
                </w:p>
              </w:tc>
              <w:tc>
                <w:tcPr>
                  <w:tcW w:w="653" w:type="pct"/>
                  <w:tcBorders>
                    <w:tl2br w:val="nil"/>
                    <w:tr2bl w:val="nil"/>
                  </w:tcBorders>
                  <w:vAlign w:val="center"/>
                </w:tcPr>
                <w:p w14:paraId="5C3E43E5">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szCs w:val="21"/>
                      <w:highlight w:val="none"/>
                      <w:lang w:val="en-US" w:eastAsia="zh-CN"/>
                    </w:rPr>
                    <w:t>60</w:t>
                  </w:r>
                </w:p>
              </w:tc>
              <w:tc>
                <w:tcPr>
                  <w:tcW w:w="463" w:type="pct"/>
                  <w:tcBorders>
                    <w:tl2br w:val="nil"/>
                    <w:tr2bl w:val="nil"/>
                  </w:tcBorders>
                  <w:vAlign w:val="center"/>
                </w:tcPr>
                <w:p w14:paraId="0749AE0F">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517F2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continue"/>
                  <w:tcBorders>
                    <w:tl2br w:val="nil"/>
                    <w:tr2bl w:val="nil"/>
                  </w:tcBorders>
                  <w:vAlign w:val="center"/>
                </w:tcPr>
                <w:p w14:paraId="6E2D0F0D">
                  <w:pPr>
                    <w:snapToGrid w:val="0"/>
                    <w:spacing w:line="240" w:lineRule="auto"/>
                    <w:jc w:val="center"/>
                    <w:rPr>
                      <w:rFonts w:hint="eastAsia" w:ascii="Times New Roman" w:hAnsi="Times New Roman" w:eastAsia="宋体" w:cs="宋体"/>
                      <w:sz w:val="21"/>
                      <w:szCs w:val="21"/>
                      <w:highlight w:val="none"/>
                      <w:lang w:val="en-US" w:eastAsia="zh-CN"/>
                    </w:rPr>
                  </w:pPr>
                </w:p>
              </w:tc>
              <w:tc>
                <w:tcPr>
                  <w:tcW w:w="580" w:type="pct"/>
                  <w:tcBorders>
                    <w:tl2br w:val="nil"/>
                    <w:tr2bl w:val="nil"/>
                  </w:tcBorders>
                  <w:vAlign w:val="center"/>
                </w:tcPr>
                <w:p w14:paraId="1A60F8C1">
                  <w:pPr>
                    <w:spacing w:before="31" w:beforeLines="10" w:after="31" w:afterLines="10"/>
                    <w:jc w:val="center"/>
                    <w:rPr>
                      <w:rFonts w:hint="eastAsia"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szCs w:val="21"/>
                      <w:highlight w:val="none"/>
                      <w:lang w:val="en-US" w:eastAsia="zh-CN"/>
                    </w:rPr>
                    <w:t>夜间</w:t>
                  </w:r>
                </w:p>
              </w:tc>
              <w:tc>
                <w:tcPr>
                  <w:tcW w:w="1119" w:type="pct"/>
                  <w:tcBorders>
                    <w:tl2br w:val="nil"/>
                    <w:tr2bl w:val="nil"/>
                  </w:tcBorders>
                  <w:vAlign w:val="center"/>
                </w:tcPr>
                <w:p w14:paraId="638CC094">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39</w:t>
                  </w:r>
                </w:p>
              </w:tc>
              <w:tc>
                <w:tcPr>
                  <w:tcW w:w="1060" w:type="pct"/>
                  <w:tcBorders>
                    <w:tl2br w:val="nil"/>
                    <w:tr2bl w:val="nil"/>
                  </w:tcBorders>
                  <w:vAlign w:val="center"/>
                </w:tcPr>
                <w:p w14:paraId="0CBAE01D">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40</w:t>
                  </w:r>
                </w:p>
              </w:tc>
              <w:tc>
                <w:tcPr>
                  <w:tcW w:w="653" w:type="pct"/>
                  <w:tcBorders>
                    <w:tl2br w:val="nil"/>
                    <w:tr2bl w:val="nil"/>
                  </w:tcBorders>
                  <w:vAlign w:val="center"/>
                </w:tcPr>
                <w:p w14:paraId="167F3909">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cstheme="minorBidi"/>
                      <w:kern w:val="2"/>
                      <w:sz w:val="21"/>
                      <w:szCs w:val="21"/>
                      <w:highlight w:val="none"/>
                      <w:lang w:val="en-US" w:eastAsia="zh-CN" w:bidi="ar-SA"/>
                    </w:rPr>
                    <w:t>50</w:t>
                  </w:r>
                </w:p>
              </w:tc>
              <w:tc>
                <w:tcPr>
                  <w:tcW w:w="463" w:type="pct"/>
                  <w:tcBorders>
                    <w:tl2br w:val="nil"/>
                    <w:tr2bl w:val="nil"/>
                  </w:tcBorders>
                  <w:vAlign w:val="center"/>
                </w:tcPr>
                <w:p w14:paraId="52E04B4E">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5C106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restart"/>
                  <w:tcBorders>
                    <w:tl2br w:val="nil"/>
                    <w:tr2bl w:val="nil"/>
                  </w:tcBorders>
                  <w:vAlign w:val="center"/>
                </w:tcPr>
                <w:p w14:paraId="5AB2A401">
                  <w:pPr>
                    <w:keepNext w:val="0"/>
                    <w:keepLines w:val="0"/>
                    <w:pageBreakBefore w:val="0"/>
                    <w:widowControl w:val="0"/>
                    <w:kinsoku/>
                    <w:wordWrap/>
                    <w:overflowPunct/>
                    <w:topLinePunct w:val="0"/>
                    <w:autoSpaceDE/>
                    <w:autoSpaceDN/>
                    <w:bidi w:val="0"/>
                    <w:adjustRightInd w:val="0"/>
                    <w:snapToGrid/>
                    <w:spacing w:line="240" w:lineRule="auto"/>
                    <w:ind w:right="0" w:rightChars="0"/>
                    <w:jc w:val="center"/>
                    <w:textAlignment w:val="auto"/>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北面一、二期厂界外1米处N4</w:t>
                  </w:r>
                </w:p>
              </w:tc>
              <w:tc>
                <w:tcPr>
                  <w:tcW w:w="580" w:type="pct"/>
                  <w:tcBorders>
                    <w:tl2br w:val="nil"/>
                    <w:tr2bl w:val="nil"/>
                  </w:tcBorders>
                  <w:vAlign w:val="center"/>
                </w:tcPr>
                <w:p w14:paraId="7B5EB344">
                  <w:pPr>
                    <w:spacing w:before="31" w:beforeLines="10" w:after="31" w:afterLines="10"/>
                    <w:jc w:val="center"/>
                    <w:rPr>
                      <w:rFonts w:hint="eastAsia" w:ascii="Times New Roman" w:hAnsi="Times New Roman" w:eastAsia="宋体"/>
                      <w:szCs w:val="21"/>
                      <w:highlight w:val="none"/>
                      <w:lang w:val="en-US" w:eastAsia="zh-CN"/>
                    </w:rPr>
                  </w:pPr>
                  <w:r>
                    <w:rPr>
                      <w:rFonts w:ascii="Times New Roman" w:hAnsi="Times New Roman" w:eastAsia="宋体"/>
                      <w:szCs w:val="21"/>
                      <w:highlight w:val="none"/>
                    </w:rPr>
                    <w:t>昼间</w:t>
                  </w:r>
                </w:p>
              </w:tc>
              <w:tc>
                <w:tcPr>
                  <w:tcW w:w="1119" w:type="pct"/>
                  <w:tcBorders>
                    <w:tl2br w:val="nil"/>
                    <w:tr2bl w:val="nil"/>
                  </w:tcBorders>
                  <w:vAlign w:val="center"/>
                </w:tcPr>
                <w:p w14:paraId="0EA14873">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45</w:t>
                  </w:r>
                </w:p>
              </w:tc>
              <w:tc>
                <w:tcPr>
                  <w:tcW w:w="1060" w:type="pct"/>
                  <w:tcBorders>
                    <w:tl2br w:val="nil"/>
                    <w:tr2bl w:val="nil"/>
                  </w:tcBorders>
                  <w:vAlign w:val="center"/>
                </w:tcPr>
                <w:p w14:paraId="620CE0E2">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43</w:t>
                  </w:r>
                </w:p>
              </w:tc>
              <w:tc>
                <w:tcPr>
                  <w:tcW w:w="653" w:type="pct"/>
                  <w:tcBorders>
                    <w:tl2br w:val="nil"/>
                    <w:tr2bl w:val="nil"/>
                  </w:tcBorders>
                  <w:vAlign w:val="center"/>
                </w:tcPr>
                <w:p w14:paraId="6584D662">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szCs w:val="21"/>
                      <w:highlight w:val="none"/>
                      <w:lang w:val="en-US" w:eastAsia="zh-CN"/>
                    </w:rPr>
                    <w:t>60</w:t>
                  </w:r>
                </w:p>
              </w:tc>
              <w:tc>
                <w:tcPr>
                  <w:tcW w:w="463" w:type="pct"/>
                  <w:tcBorders>
                    <w:tl2br w:val="nil"/>
                    <w:tr2bl w:val="nil"/>
                  </w:tcBorders>
                  <w:vAlign w:val="center"/>
                </w:tcPr>
                <w:p w14:paraId="595B3660">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1EB63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continue"/>
                  <w:tcBorders>
                    <w:tl2br w:val="nil"/>
                    <w:tr2bl w:val="nil"/>
                  </w:tcBorders>
                  <w:vAlign w:val="center"/>
                </w:tcPr>
                <w:p w14:paraId="1A063F93">
                  <w:pPr>
                    <w:snapToGrid w:val="0"/>
                    <w:spacing w:line="240" w:lineRule="auto"/>
                    <w:jc w:val="center"/>
                    <w:rPr>
                      <w:rFonts w:hint="eastAsia" w:ascii="Times New Roman" w:hAnsi="Times New Roman" w:eastAsia="宋体" w:cs="宋体"/>
                      <w:sz w:val="21"/>
                      <w:szCs w:val="21"/>
                      <w:highlight w:val="none"/>
                      <w:lang w:val="en-US" w:eastAsia="zh-CN"/>
                    </w:rPr>
                  </w:pPr>
                </w:p>
              </w:tc>
              <w:tc>
                <w:tcPr>
                  <w:tcW w:w="580" w:type="pct"/>
                  <w:tcBorders>
                    <w:tl2br w:val="nil"/>
                    <w:tr2bl w:val="nil"/>
                  </w:tcBorders>
                  <w:vAlign w:val="center"/>
                </w:tcPr>
                <w:p w14:paraId="4CE554BC">
                  <w:pPr>
                    <w:spacing w:before="31" w:beforeLines="10" w:after="31" w:afterLines="10"/>
                    <w:jc w:val="center"/>
                    <w:rPr>
                      <w:rFonts w:hint="eastAsia"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夜间</w:t>
                  </w:r>
                </w:p>
              </w:tc>
              <w:tc>
                <w:tcPr>
                  <w:tcW w:w="1119" w:type="pct"/>
                  <w:tcBorders>
                    <w:tl2br w:val="nil"/>
                    <w:tr2bl w:val="nil"/>
                  </w:tcBorders>
                  <w:vAlign w:val="center"/>
                </w:tcPr>
                <w:p w14:paraId="771EF326">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39</w:t>
                  </w:r>
                </w:p>
              </w:tc>
              <w:tc>
                <w:tcPr>
                  <w:tcW w:w="1060" w:type="pct"/>
                  <w:tcBorders>
                    <w:tl2br w:val="nil"/>
                    <w:tr2bl w:val="nil"/>
                  </w:tcBorders>
                  <w:vAlign w:val="center"/>
                </w:tcPr>
                <w:p w14:paraId="566C6EF8">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40</w:t>
                  </w:r>
                </w:p>
              </w:tc>
              <w:tc>
                <w:tcPr>
                  <w:tcW w:w="653" w:type="pct"/>
                  <w:tcBorders>
                    <w:tl2br w:val="nil"/>
                    <w:tr2bl w:val="nil"/>
                  </w:tcBorders>
                  <w:vAlign w:val="center"/>
                </w:tcPr>
                <w:p w14:paraId="2D3B3AC3">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cstheme="minorBidi"/>
                      <w:kern w:val="2"/>
                      <w:sz w:val="21"/>
                      <w:szCs w:val="21"/>
                      <w:highlight w:val="none"/>
                      <w:lang w:val="en-US" w:eastAsia="zh-CN" w:bidi="ar-SA"/>
                    </w:rPr>
                    <w:t>50</w:t>
                  </w:r>
                </w:p>
              </w:tc>
              <w:tc>
                <w:tcPr>
                  <w:tcW w:w="463" w:type="pct"/>
                  <w:tcBorders>
                    <w:tl2br w:val="nil"/>
                    <w:tr2bl w:val="nil"/>
                  </w:tcBorders>
                  <w:vAlign w:val="center"/>
                </w:tcPr>
                <w:p w14:paraId="28F84BA9">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6F49C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restart"/>
                  <w:tcBorders>
                    <w:tl2br w:val="nil"/>
                    <w:tr2bl w:val="nil"/>
                  </w:tcBorders>
                  <w:vAlign w:val="center"/>
                </w:tcPr>
                <w:p w14:paraId="67FA2DC1">
                  <w:pPr>
                    <w:keepNext w:val="0"/>
                    <w:keepLines w:val="0"/>
                    <w:pageBreakBefore w:val="0"/>
                    <w:widowControl w:val="0"/>
                    <w:kinsoku/>
                    <w:wordWrap/>
                    <w:overflowPunct/>
                    <w:topLinePunct w:val="0"/>
                    <w:autoSpaceDE/>
                    <w:autoSpaceDN/>
                    <w:bidi w:val="0"/>
                    <w:adjustRightInd w:val="0"/>
                    <w:snapToGrid/>
                    <w:spacing w:line="240" w:lineRule="auto"/>
                    <w:ind w:right="0" w:rightChars="0"/>
                    <w:jc w:val="center"/>
                    <w:textAlignment w:val="auto"/>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敏感点下白沙村N5</w:t>
                  </w:r>
                </w:p>
              </w:tc>
              <w:tc>
                <w:tcPr>
                  <w:tcW w:w="580" w:type="pct"/>
                  <w:tcBorders>
                    <w:tl2br w:val="nil"/>
                    <w:tr2bl w:val="nil"/>
                  </w:tcBorders>
                  <w:vAlign w:val="center"/>
                </w:tcPr>
                <w:p w14:paraId="5220F4F3">
                  <w:pPr>
                    <w:spacing w:before="31" w:beforeLines="10" w:after="31" w:afterLines="10"/>
                    <w:jc w:val="center"/>
                    <w:rPr>
                      <w:rFonts w:hint="eastAsia" w:ascii="Times New Roman" w:hAnsi="Times New Roman" w:eastAsia="宋体"/>
                      <w:szCs w:val="21"/>
                      <w:highlight w:val="none"/>
                      <w:lang w:val="en-US" w:eastAsia="zh-CN"/>
                    </w:rPr>
                  </w:pPr>
                  <w:r>
                    <w:rPr>
                      <w:rFonts w:ascii="Times New Roman" w:hAnsi="Times New Roman" w:eastAsia="宋体"/>
                      <w:szCs w:val="21"/>
                      <w:highlight w:val="none"/>
                    </w:rPr>
                    <w:t>昼间</w:t>
                  </w:r>
                </w:p>
              </w:tc>
              <w:tc>
                <w:tcPr>
                  <w:tcW w:w="1119" w:type="pct"/>
                  <w:tcBorders>
                    <w:tl2br w:val="nil"/>
                    <w:tr2bl w:val="nil"/>
                  </w:tcBorders>
                  <w:vAlign w:val="center"/>
                </w:tcPr>
                <w:p w14:paraId="56212BE9">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54</w:t>
                  </w:r>
                </w:p>
              </w:tc>
              <w:tc>
                <w:tcPr>
                  <w:tcW w:w="1060" w:type="pct"/>
                  <w:tcBorders>
                    <w:tl2br w:val="nil"/>
                    <w:tr2bl w:val="nil"/>
                  </w:tcBorders>
                  <w:vAlign w:val="center"/>
                </w:tcPr>
                <w:p w14:paraId="2DD1F9C4">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53</w:t>
                  </w:r>
                </w:p>
              </w:tc>
              <w:tc>
                <w:tcPr>
                  <w:tcW w:w="653" w:type="pct"/>
                  <w:tcBorders>
                    <w:tl2br w:val="nil"/>
                    <w:tr2bl w:val="nil"/>
                  </w:tcBorders>
                  <w:vAlign w:val="center"/>
                </w:tcPr>
                <w:p w14:paraId="57696033">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szCs w:val="21"/>
                      <w:highlight w:val="none"/>
                      <w:lang w:val="en-US" w:eastAsia="zh-CN"/>
                    </w:rPr>
                    <w:t>60</w:t>
                  </w:r>
                </w:p>
              </w:tc>
              <w:tc>
                <w:tcPr>
                  <w:tcW w:w="463" w:type="pct"/>
                  <w:tcBorders>
                    <w:tl2br w:val="nil"/>
                    <w:tr2bl w:val="nil"/>
                  </w:tcBorders>
                  <w:vAlign w:val="center"/>
                </w:tcPr>
                <w:p w14:paraId="63FE3563">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4E6BF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continue"/>
                  <w:tcBorders>
                    <w:tl2br w:val="nil"/>
                    <w:tr2bl w:val="nil"/>
                  </w:tcBorders>
                  <w:vAlign w:val="center"/>
                </w:tcPr>
                <w:p w14:paraId="46E99314">
                  <w:pPr>
                    <w:snapToGrid w:val="0"/>
                    <w:spacing w:line="240" w:lineRule="auto"/>
                    <w:jc w:val="center"/>
                    <w:rPr>
                      <w:rFonts w:hint="eastAsia" w:ascii="Times New Roman" w:hAnsi="Times New Roman" w:eastAsia="宋体" w:cs="宋体"/>
                      <w:sz w:val="21"/>
                      <w:szCs w:val="21"/>
                      <w:highlight w:val="none"/>
                      <w:lang w:val="en-US" w:eastAsia="zh-CN"/>
                    </w:rPr>
                  </w:pPr>
                </w:p>
              </w:tc>
              <w:tc>
                <w:tcPr>
                  <w:tcW w:w="580" w:type="pct"/>
                  <w:tcBorders>
                    <w:tl2br w:val="nil"/>
                    <w:tr2bl w:val="nil"/>
                  </w:tcBorders>
                  <w:vAlign w:val="center"/>
                </w:tcPr>
                <w:p w14:paraId="6ED99276">
                  <w:pPr>
                    <w:spacing w:before="31" w:beforeLines="10" w:after="31" w:afterLines="10"/>
                    <w:jc w:val="center"/>
                    <w:rPr>
                      <w:rFonts w:hint="eastAsia"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夜间</w:t>
                  </w:r>
                </w:p>
              </w:tc>
              <w:tc>
                <w:tcPr>
                  <w:tcW w:w="1119" w:type="pct"/>
                  <w:tcBorders>
                    <w:tl2br w:val="nil"/>
                    <w:tr2bl w:val="nil"/>
                  </w:tcBorders>
                  <w:vAlign w:val="center"/>
                </w:tcPr>
                <w:p w14:paraId="4FBC2581">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40</w:t>
                  </w:r>
                </w:p>
              </w:tc>
              <w:tc>
                <w:tcPr>
                  <w:tcW w:w="1060" w:type="pct"/>
                  <w:tcBorders>
                    <w:tl2br w:val="nil"/>
                    <w:tr2bl w:val="nil"/>
                  </w:tcBorders>
                  <w:vAlign w:val="center"/>
                </w:tcPr>
                <w:p w14:paraId="53DFA3CB">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41</w:t>
                  </w:r>
                </w:p>
              </w:tc>
              <w:tc>
                <w:tcPr>
                  <w:tcW w:w="653" w:type="pct"/>
                  <w:tcBorders>
                    <w:tl2br w:val="nil"/>
                    <w:tr2bl w:val="nil"/>
                  </w:tcBorders>
                  <w:vAlign w:val="center"/>
                </w:tcPr>
                <w:p w14:paraId="3F603D98">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cstheme="minorBidi"/>
                      <w:kern w:val="2"/>
                      <w:sz w:val="21"/>
                      <w:szCs w:val="21"/>
                      <w:highlight w:val="none"/>
                      <w:lang w:val="en-US" w:eastAsia="zh-CN" w:bidi="ar-SA"/>
                    </w:rPr>
                    <w:t>50</w:t>
                  </w:r>
                </w:p>
              </w:tc>
              <w:tc>
                <w:tcPr>
                  <w:tcW w:w="463" w:type="pct"/>
                  <w:tcBorders>
                    <w:tl2br w:val="nil"/>
                    <w:tr2bl w:val="nil"/>
                  </w:tcBorders>
                  <w:vAlign w:val="center"/>
                </w:tcPr>
                <w:p w14:paraId="59C59658">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40444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restart"/>
                  <w:tcBorders>
                    <w:tl2br w:val="nil"/>
                    <w:tr2bl w:val="nil"/>
                  </w:tcBorders>
                  <w:vAlign w:val="center"/>
                </w:tcPr>
                <w:p w14:paraId="575A1EB9">
                  <w:pPr>
                    <w:keepNext w:val="0"/>
                    <w:keepLines w:val="0"/>
                    <w:pageBreakBefore w:val="0"/>
                    <w:widowControl w:val="0"/>
                    <w:kinsoku/>
                    <w:wordWrap/>
                    <w:overflowPunct/>
                    <w:topLinePunct w:val="0"/>
                    <w:autoSpaceDE/>
                    <w:autoSpaceDN/>
                    <w:bidi w:val="0"/>
                    <w:adjustRightInd w:val="0"/>
                    <w:snapToGrid/>
                    <w:spacing w:line="240" w:lineRule="auto"/>
                    <w:ind w:right="0" w:rightChars="0"/>
                    <w:jc w:val="center"/>
                    <w:textAlignment w:val="auto"/>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东面三期厂界外1米处N5</w:t>
                  </w:r>
                </w:p>
              </w:tc>
              <w:tc>
                <w:tcPr>
                  <w:tcW w:w="580" w:type="pct"/>
                  <w:tcBorders>
                    <w:tl2br w:val="nil"/>
                    <w:tr2bl w:val="nil"/>
                  </w:tcBorders>
                  <w:vAlign w:val="center"/>
                </w:tcPr>
                <w:p w14:paraId="73C6CA40">
                  <w:pPr>
                    <w:spacing w:before="31" w:beforeLines="10" w:after="31" w:afterLines="10"/>
                    <w:jc w:val="center"/>
                    <w:rPr>
                      <w:rFonts w:hint="eastAsia" w:ascii="Times New Roman" w:hAnsi="Times New Roman" w:eastAsia="宋体"/>
                      <w:szCs w:val="21"/>
                      <w:highlight w:val="none"/>
                      <w:lang w:val="en-US" w:eastAsia="zh-CN"/>
                    </w:rPr>
                  </w:pPr>
                  <w:r>
                    <w:rPr>
                      <w:rFonts w:ascii="Times New Roman" w:hAnsi="Times New Roman" w:eastAsia="宋体"/>
                      <w:szCs w:val="21"/>
                      <w:highlight w:val="none"/>
                    </w:rPr>
                    <w:t>昼间</w:t>
                  </w:r>
                </w:p>
              </w:tc>
              <w:tc>
                <w:tcPr>
                  <w:tcW w:w="1119" w:type="pct"/>
                  <w:tcBorders>
                    <w:tl2br w:val="nil"/>
                    <w:tr2bl w:val="nil"/>
                  </w:tcBorders>
                  <w:vAlign w:val="center"/>
                </w:tcPr>
                <w:p w14:paraId="09FF7021">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50</w:t>
                  </w:r>
                </w:p>
              </w:tc>
              <w:tc>
                <w:tcPr>
                  <w:tcW w:w="1060" w:type="pct"/>
                  <w:tcBorders>
                    <w:tl2br w:val="nil"/>
                    <w:tr2bl w:val="nil"/>
                  </w:tcBorders>
                  <w:vAlign w:val="center"/>
                </w:tcPr>
                <w:p w14:paraId="2481B54F">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50</w:t>
                  </w:r>
                </w:p>
              </w:tc>
              <w:tc>
                <w:tcPr>
                  <w:tcW w:w="653" w:type="pct"/>
                  <w:tcBorders>
                    <w:tl2br w:val="nil"/>
                    <w:tr2bl w:val="nil"/>
                  </w:tcBorders>
                  <w:vAlign w:val="center"/>
                </w:tcPr>
                <w:p w14:paraId="64EFBE86">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szCs w:val="21"/>
                      <w:highlight w:val="none"/>
                      <w:lang w:val="en-US" w:eastAsia="zh-CN"/>
                    </w:rPr>
                    <w:t>60</w:t>
                  </w:r>
                </w:p>
              </w:tc>
              <w:tc>
                <w:tcPr>
                  <w:tcW w:w="463" w:type="pct"/>
                  <w:tcBorders>
                    <w:tl2br w:val="nil"/>
                    <w:tr2bl w:val="nil"/>
                  </w:tcBorders>
                  <w:vAlign w:val="center"/>
                </w:tcPr>
                <w:p w14:paraId="214DF9A0">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36E3D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continue"/>
                  <w:tcBorders>
                    <w:tl2br w:val="nil"/>
                    <w:tr2bl w:val="nil"/>
                  </w:tcBorders>
                  <w:vAlign w:val="center"/>
                </w:tcPr>
                <w:p w14:paraId="0EA00CA8">
                  <w:pPr>
                    <w:snapToGrid w:val="0"/>
                    <w:spacing w:line="240" w:lineRule="auto"/>
                    <w:jc w:val="center"/>
                    <w:rPr>
                      <w:rFonts w:hint="eastAsia" w:ascii="Times New Roman" w:hAnsi="Times New Roman" w:eastAsia="宋体" w:cs="宋体"/>
                      <w:sz w:val="21"/>
                      <w:szCs w:val="21"/>
                      <w:highlight w:val="none"/>
                      <w:lang w:val="en-US" w:eastAsia="zh-CN"/>
                    </w:rPr>
                  </w:pPr>
                </w:p>
              </w:tc>
              <w:tc>
                <w:tcPr>
                  <w:tcW w:w="580" w:type="pct"/>
                  <w:tcBorders>
                    <w:tl2br w:val="nil"/>
                    <w:tr2bl w:val="nil"/>
                  </w:tcBorders>
                  <w:vAlign w:val="center"/>
                </w:tcPr>
                <w:p w14:paraId="791E31EC">
                  <w:pPr>
                    <w:spacing w:before="31" w:beforeLines="10" w:after="31" w:afterLines="10"/>
                    <w:jc w:val="center"/>
                    <w:rPr>
                      <w:rFonts w:hint="eastAsia"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夜间</w:t>
                  </w:r>
                </w:p>
              </w:tc>
              <w:tc>
                <w:tcPr>
                  <w:tcW w:w="1119" w:type="pct"/>
                  <w:tcBorders>
                    <w:tl2br w:val="nil"/>
                    <w:tr2bl w:val="nil"/>
                  </w:tcBorders>
                  <w:vAlign w:val="center"/>
                </w:tcPr>
                <w:p w14:paraId="2DF5575E">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41</w:t>
                  </w:r>
                </w:p>
              </w:tc>
              <w:tc>
                <w:tcPr>
                  <w:tcW w:w="1060" w:type="pct"/>
                  <w:tcBorders>
                    <w:tl2br w:val="nil"/>
                    <w:tr2bl w:val="nil"/>
                  </w:tcBorders>
                  <w:vAlign w:val="center"/>
                </w:tcPr>
                <w:p w14:paraId="0871021E">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40</w:t>
                  </w:r>
                </w:p>
              </w:tc>
              <w:tc>
                <w:tcPr>
                  <w:tcW w:w="653" w:type="pct"/>
                  <w:tcBorders>
                    <w:tl2br w:val="nil"/>
                    <w:tr2bl w:val="nil"/>
                  </w:tcBorders>
                  <w:vAlign w:val="center"/>
                </w:tcPr>
                <w:p w14:paraId="29B012C9">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cstheme="minorBidi"/>
                      <w:kern w:val="2"/>
                      <w:sz w:val="21"/>
                      <w:szCs w:val="21"/>
                      <w:highlight w:val="none"/>
                      <w:lang w:val="en-US" w:eastAsia="zh-CN" w:bidi="ar-SA"/>
                    </w:rPr>
                    <w:t>50</w:t>
                  </w:r>
                </w:p>
              </w:tc>
              <w:tc>
                <w:tcPr>
                  <w:tcW w:w="463" w:type="pct"/>
                  <w:tcBorders>
                    <w:tl2br w:val="nil"/>
                    <w:tr2bl w:val="nil"/>
                  </w:tcBorders>
                  <w:vAlign w:val="center"/>
                </w:tcPr>
                <w:p w14:paraId="26A31D62">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3C97E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 w:hRule="atLeast"/>
              </w:trPr>
              <w:tc>
                <w:tcPr>
                  <w:tcW w:w="1122" w:type="pct"/>
                  <w:vMerge w:val="restart"/>
                  <w:tcBorders>
                    <w:tl2br w:val="nil"/>
                    <w:tr2bl w:val="nil"/>
                  </w:tcBorders>
                  <w:vAlign w:val="center"/>
                </w:tcPr>
                <w:p w14:paraId="5EF624AF">
                  <w:pPr>
                    <w:keepNext w:val="0"/>
                    <w:keepLines w:val="0"/>
                    <w:pageBreakBefore w:val="0"/>
                    <w:widowControl w:val="0"/>
                    <w:kinsoku/>
                    <w:wordWrap/>
                    <w:overflowPunct/>
                    <w:topLinePunct w:val="0"/>
                    <w:autoSpaceDE/>
                    <w:autoSpaceDN/>
                    <w:bidi w:val="0"/>
                    <w:adjustRightInd w:val="0"/>
                    <w:snapToGrid/>
                    <w:spacing w:line="240" w:lineRule="auto"/>
                    <w:ind w:right="0" w:rightChars="0"/>
                    <w:jc w:val="center"/>
                    <w:textAlignment w:val="auto"/>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南面三期厂界外1米处N6</w:t>
                  </w:r>
                </w:p>
              </w:tc>
              <w:tc>
                <w:tcPr>
                  <w:tcW w:w="580" w:type="pct"/>
                  <w:tcBorders>
                    <w:tl2br w:val="nil"/>
                    <w:tr2bl w:val="nil"/>
                  </w:tcBorders>
                  <w:vAlign w:val="center"/>
                </w:tcPr>
                <w:p w14:paraId="7FDBBFB2">
                  <w:pPr>
                    <w:spacing w:before="31" w:beforeLines="10" w:after="31" w:afterLines="10"/>
                    <w:jc w:val="center"/>
                    <w:rPr>
                      <w:rFonts w:hint="eastAsia" w:ascii="Times New Roman" w:hAnsi="Times New Roman" w:eastAsia="宋体"/>
                      <w:szCs w:val="21"/>
                      <w:highlight w:val="none"/>
                      <w:lang w:val="en-US" w:eastAsia="zh-CN"/>
                    </w:rPr>
                  </w:pPr>
                  <w:r>
                    <w:rPr>
                      <w:rFonts w:ascii="Times New Roman" w:hAnsi="Times New Roman" w:eastAsia="宋体"/>
                      <w:szCs w:val="21"/>
                      <w:highlight w:val="none"/>
                    </w:rPr>
                    <w:t>昼间</w:t>
                  </w:r>
                </w:p>
              </w:tc>
              <w:tc>
                <w:tcPr>
                  <w:tcW w:w="1119" w:type="pct"/>
                  <w:tcBorders>
                    <w:tl2br w:val="nil"/>
                    <w:tr2bl w:val="nil"/>
                  </w:tcBorders>
                  <w:vAlign w:val="center"/>
                </w:tcPr>
                <w:p w14:paraId="770370BF">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54</w:t>
                  </w:r>
                </w:p>
              </w:tc>
              <w:tc>
                <w:tcPr>
                  <w:tcW w:w="1060" w:type="pct"/>
                  <w:tcBorders>
                    <w:tl2br w:val="nil"/>
                    <w:tr2bl w:val="nil"/>
                  </w:tcBorders>
                  <w:vAlign w:val="center"/>
                </w:tcPr>
                <w:p w14:paraId="6EA7A5E0">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52</w:t>
                  </w:r>
                </w:p>
              </w:tc>
              <w:tc>
                <w:tcPr>
                  <w:tcW w:w="653" w:type="pct"/>
                  <w:tcBorders>
                    <w:tl2br w:val="nil"/>
                    <w:tr2bl w:val="nil"/>
                  </w:tcBorders>
                  <w:vAlign w:val="center"/>
                </w:tcPr>
                <w:p w14:paraId="07271B00">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szCs w:val="21"/>
                      <w:highlight w:val="none"/>
                      <w:lang w:val="en-US" w:eastAsia="zh-CN"/>
                    </w:rPr>
                    <w:t>60</w:t>
                  </w:r>
                </w:p>
              </w:tc>
              <w:tc>
                <w:tcPr>
                  <w:tcW w:w="463" w:type="pct"/>
                  <w:tcBorders>
                    <w:tl2br w:val="nil"/>
                    <w:tr2bl w:val="nil"/>
                  </w:tcBorders>
                  <w:vAlign w:val="center"/>
                </w:tcPr>
                <w:p w14:paraId="24A55C8C">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65824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continue"/>
                  <w:tcBorders>
                    <w:tl2br w:val="nil"/>
                    <w:tr2bl w:val="nil"/>
                  </w:tcBorders>
                  <w:vAlign w:val="center"/>
                </w:tcPr>
                <w:p w14:paraId="327C729E">
                  <w:pPr>
                    <w:snapToGrid w:val="0"/>
                    <w:spacing w:line="240" w:lineRule="auto"/>
                    <w:jc w:val="center"/>
                    <w:rPr>
                      <w:rFonts w:hint="eastAsia" w:ascii="Times New Roman" w:hAnsi="Times New Roman" w:eastAsia="宋体" w:cs="宋体"/>
                      <w:sz w:val="21"/>
                      <w:szCs w:val="21"/>
                      <w:highlight w:val="none"/>
                      <w:lang w:val="en-US" w:eastAsia="zh-CN"/>
                    </w:rPr>
                  </w:pPr>
                </w:p>
              </w:tc>
              <w:tc>
                <w:tcPr>
                  <w:tcW w:w="580" w:type="pct"/>
                  <w:tcBorders>
                    <w:tl2br w:val="nil"/>
                    <w:tr2bl w:val="nil"/>
                  </w:tcBorders>
                  <w:vAlign w:val="center"/>
                </w:tcPr>
                <w:p w14:paraId="12747E32">
                  <w:pPr>
                    <w:spacing w:before="31" w:beforeLines="10" w:after="31" w:afterLines="10"/>
                    <w:jc w:val="center"/>
                    <w:rPr>
                      <w:rFonts w:hint="eastAsia"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夜间</w:t>
                  </w:r>
                </w:p>
              </w:tc>
              <w:tc>
                <w:tcPr>
                  <w:tcW w:w="1119" w:type="pct"/>
                  <w:tcBorders>
                    <w:tl2br w:val="nil"/>
                    <w:tr2bl w:val="nil"/>
                  </w:tcBorders>
                  <w:vAlign w:val="center"/>
                </w:tcPr>
                <w:p w14:paraId="46473251">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40</w:t>
                  </w:r>
                </w:p>
              </w:tc>
              <w:tc>
                <w:tcPr>
                  <w:tcW w:w="1060" w:type="pct"/>
                  <w:tcBorders>
                    <w:tl2br w:val="nil"/>
                    <w:tr2bl w:val="nil"/>
                  </w:tcBorders>
                  <w:vAlign w:val="center"/>
                </w:tcPr>
                <w:p w14:paraId="2A48C441">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39</w:t>
                  </w:r>
                </w:p>
              </w:tc>
              <w:tc>
                <w:tcPr>
                  <w:tcW w:w="653" w:type="pct"/>
                  <w:tcBorders>
                    <w:tl2br w:val="nil"/>
                    <w:tr2bl w:val="nil"/>
                  </w:tcBorders>
                  <w:vAlign w:val="center"/>
                </w:tcPr>
                <w:p w14:paraId="73E5629C">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cstheme="minorBidi"/>
                      <w:kern w:val="2"/>
                      <w:sz w:val="21"/>
                      <w:szCs w:val="21"/>
                      <w:highlight w:val="none"/>
                      <w:lang w:val="en-US" w:eastAsia="zh-CN" w:bidi="ar-SA"/>
                    </w:rPr>
                    <w:t>50</w:t>
                  </w:r>
                </w:p>
              </w:tc>
              <w:tc>
                <w:tcPr>
                  <w:tcW w:w="463" w:type="pct"/>
                  <w:tcBorders>
                    <w:tl2br w:val="nil"/>
                    <w:tr2bl w:val="nil"/>
                  </w:tcBorders>
                  <w:vAlign w:val="center"/>
                </w:tcPr>
                <w:p w14:paraId="32077124">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58BBA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restart"/>
                  <w:tcBorders>
                    <w:tl2br w:val="nil"/>
                    <w:tr2bl w:val="nil"/>
                  </w:tcBorders>
                  <w:vAlign w:val="center"/>
                </w:tcPr>
                <w:p w14:paraId="6F699390">
                  <w:pPr>
                    <w:keepNext w:val="0"/>
                    <w:keepLines w:val="0"/>
                    <w:pageBreakBefore w:val="0"/>
                    <w:widowControl w:val="0"/>
                    <w:kinsoku/>
                    <w:wordWrap/>
                    <w:overflowPunct/>
                    <w:topLinePunct w:val="0"/>
                    <w:autoSpaceDE/>
                    <w:autoSpaceDN/>
                    <w:bidi w:val="0"/>
                    <w:adjustRightInd w:val="0"/>
                    <w:snapToGrid/>
                    <w:spacing w:line="240" w:lineRule="auto"/>
                    <w:ind w:right="0" w:rightChars="0"/>
                    <w:jc w:val="center"/>
                    <w:textAlignment w:val="auto"/>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西面三期厂界外1米处N7</w:t>
                  </w:r>
                </w:p>
              </w:tc>
              <w:tc>
                <w:tcPr>
                  <w:tcW w:w="580" w:type="pct"/>
                  <w:tcBorders>
                    <w:tl2br w:val="nil"/>
                    <w:tr2bl w:val="nil"/>
                  </w:tcBorders>
                  <w:vAlign w:val="center"/>
                </w:tcPr>
                <w:p w14:paraId="351C5572">
                  <w:pPr>
                    <w:spacing w:before="31" w:beforeLines="10" w:after="31" w:afterLines="10"/>
                    <w:jc w:val="center"/>
                    <w:rPr>
                      <w:rFonts w:hint="eastAsia" w:ascii="Times New Roman" w:hAnsi="Times New Roman" w:eastAsia="宋体"/>
                      <w:szCs w:val="21"/>
                      <w:highlight w:val="none"/>
                      <w:lang w:val="en-US" w:eastAsia="zh-CN"/>
                    </w:rPr>
                  </w:pPr>
                  <w:r>
                    <w:rPr>
                      <w:rFonts w:ascii="Times New Roman" w:hAnsi="Times New Roman" w:eastAsia="宋体"/>
                      <w:szCs w:val="21"/>
                      <w:highlight w:val="none"/>
                    </w:rPr>
                    <w:t>昼间</w:t>
                  </w:r>
                </w:p>
              </w:tc>
              <w:tc>
                <w:tcPr>
                  <w:tcW w:w="1119" w:type="pct"/>
                  <w:tcBorders>
                    <w:tl2br w:val="nil"/>
                    <w:tr2bl w:val="nil"/>
                  </w:tcBorders>
                  <w:vAlign w:val="center"/>
                </w:tcPr>
                <w:p w14:paraId="4B99A591">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46</w:t>
                  </w:r>
                </w:p>
              </w:tc>
              <w:tc>
                <w:tcPr>
                  <w:tcW w:w="1060" w:type="pct"/>
                  <w:tcBorders>
                    <w:tl2br w:val="nil"/>
                    <w:tr2bl w:val="nil"/>
                  </w:tcBorders>
                  <w:vAlign w:val="center"/>
                </w:tcPr>
                <w:p w14:paraId="06C22515">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47</w:t>
                  </w:r>
                </w:p>
              </w:tc>
              <w:tc>
                <w:tcPr>
                  <w:tcW w:w="653" w:type="pct"/>
                  <w:tcBorders>
                    <w:tl2br w:val="nil"/>
                    <w:tr2bl w:val="nil"/>
                  </w:tcBorders>
                  <w:vAlign w:val="center"/>
                </w:tcPr>
                <w:p w14:paraId="7A04F4E2">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szCs w:val="21"/>
                      <w:highlight w:val="none"/>
                      <w:lang w:val="en-US" w:eastAsia="zh-CN"/>
                    </w:rPr>
                    <w:t>60</w:t>
                  </w:r>
                </w:p>
              </w:tc>
              <w:tc>
                <w:tcPr>
                  <w:tcW w:w="463" w:type="pct"/>
                  <w:tcBorders>
                    <w:tl2br w:val="nil"/>
                    <w:tr2bl w:val="nil"/>
                  </w:tcBorders>
                  <w:vAlign w:val="center"/>
                </w:tcPr>
                <w:p w14:paraId="00F46BCF">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63D1F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22" w:type="pct"/>
                  <w:vMerge w:val="continue"/>
                  <w:tcBorders>
                    <w:tl2br w:val="nil"/>
                    <w:tr2bl w:val="nil"/>
                  </w:tcBorders>
                  <w:vAlign w:val="center"/>
                </w:tcPr>
                <w:p w14:paraId="605AF67E">
                  <w:pPr>
                    <w:snapToGrid w:val="0"/>
                    <w:spacing w:line="240" w:lineRule="auto"/>
                    <w:jc w:val="center"/>
                    <w:rPr>
                      <w:rFonts w:hint="eastAsia" w:ascii="Times New Roman" w:hAnsi="Times New Roman" w:eastAsia="宋体" w:cs="宋体"/>
                      <w:sz w:val="21"/>
                      <w:szCs w:val="21"/>
                      <w:highlight w:val="none"/>
                      <w:lang w:val="en-US" w:eastAsia="zh-CN"/>
                    </w:rPr>
                  </w:pPr>
                </w:p>
              </w:tc>
              <w:tc>
                <w:tcPr>
                  <w:tcW w:w="580" w:type="pct"/>
                  <w:tcBorders>
                    <w:tl2br w:val="nil"/>
                    <w:tr2bl w:val="nil"/>
                  </w:tcBorders>
                  <w:vAlign w:val="center"/>
                </w:tcPr>
                <w:p w14:paraId="575C0428">
                  <w:pPr>
                    <w:spacing w:before="31" w:beforeLines="10" w:after="31" w:afterLines="10"/>
                    <w:jc w:val="center"/>
                    <w:rPr>
                      <w:rFonts w:hint="eastAsia"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夜间</w:t>
                  </w:r>
                </w:p>
              </w:tc>
              <w:tc>
                <w:tcPr>
                  <w:tcW w:w="1119" w:type="pct"/>
                  <w:tcBorders>
                    <w:tl2br w:val="nil"/>
                    <w:tr2bl w:val="nil"/>
                  </w:tcBorders>
                  <w:vAlign w:val="center"/>
                </w:tcPr>
                <w:p w14:paraId="6C2514C2">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39</w:t>
                  </w:r>
                </w:p>
              </w:tc>
              <w:tc>
                <w:tcPr>
                  <w:tcW w:w="1060" w:type="pct"/>
                  <w:tcBorders>
                    <w:tl2br w:val="nil"/>
                    <w:tr2bl w:val="nil"/>
                  </w:tcBorders>
                  <w:vAlign w:val="center"/>
                </w:tcPr>
                <w:p w14:paraId="1BB02D18">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40</w:t>
                  </w:r>
                </w:p>
              </w:tc>
              <w:tc>
                <w:tcPr>
                  <w:tcW w:w="653" w:type="pct"/>
                  <w:tcBorders>
                    <w:tl2br w:val="nil"/>
                    <w:tr2bl w:val="nil"/>
                  </w:tcBorders>
                  <w:vAlign w:val="center"/>
                </w:tcPr>
                <w:p w14:paraId="21B3F1DF">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cstheme="minorBidi"/>
                      <w:kern w:val="2"/>
                      <w:sz w:val="21"/>
                      <w:szCs w:val="21"/>
                      <w:highlight w:val="none"/>
                      <w:lang w:val="en-US" w:eastAsia="zh-CN" w:bidi="ar-SA"/>
                    </w:rPr>
                    <w:t>50</w:t>
                  </w:r>
                </w:p>
              </w:tc>
              <w:tc>
                <w:tcPr>
                  <w:tcW w:w="463" w:type="pct"/>
                  <w:tcBorders>
                    <w:tl2br w:val="nil"/>
                    <w:tr2bl w:val="nil"/>
                  </w:tcBorders>
                  <w:vAlign w:val="center"/>
                </w:tcPr>
                <w:p w14:paraId="32EB39E4">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101B8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22" w:type="pct"/>
                  <w:vMerge w:val="restart"/>
                  <w:tcBorders>
                    <w:tl2br w:val="nil"/>
                    <w:tr2bl w:val="nil"/>
                  </w:tcBorders>
                  <w:vAlign w:val="center"/>
                </w:tcPr>
                <w:p w14:paraId="45B734BF">
                  <w:pPr>
                    <w:keepNext w:val="0"/>
                    <w:keepLines w:val="0"/>
                    <w:pageBreakBefore w:val="0"/>
                    <w:widowControl w:val="0"/>
                    <w:kinsoku/>
                    <w:wordWrap/>
                    <w:overflowPunct/>
                    <w:topLinePunct w:val="0"/>
                    <w:autoSpaceDE/>
                    <w:autoSpaceDN/>
                    <w:bidi w:val="0"/>
                    <w:adjustRightInd w:val="0"/>
                    <w:snapToGrid/>
                    <w:spacing w:line="240" w:lineRule="auto"/>
                    <w:ind w:right="0" w:rightChars="0"/>
                    <w:jc w:val="center"/>
                    <w:textAlignment w:val="auto"/>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北面三期厂界外1米处N8</w:t>
                  </w:r>
                </w:p>
              </w:tc>
              <w:tc>
                <w:tcPr>
                  <w:tcW w:w="580" w:type="pct"/>
                  <w:tcBorders>
                    <w:tl2br w:val="nil"/>
                    <w:tr2bl w:val="nil"/>
                  </w:tcBorders>
                  <w:vAlign w:val="center"/>
                </w:tcPr>
                <w:p w14:paraId="1A9A96CF">
                  <w:pPr>
                    <w:spacing w:before="31" w:beforeLines="10" w:after="31" w:afterLines="10"/>
                    <w:jc w:val="center"/>
                    <w:rPr>
                      <w:rFonts w:hint="eastAsia" w:ascii="Times New Roman" w:hAnsi="Times New Roman" w:eastAsia="宋体"/>
                      <w:szCs w:val="21"/>
                      <w:highlight w:val="none"/>
                      <w:lang w:val="en-US" w:eastAsia="zh-CN"/>
                    </w:rPr>
                  </w:pPr>
                  <w:r>
                    <w:rPr>
                      <w:rFonts w:ascii="Times New Roman" w:hAnsi="Times New Roman" w:eastAsia="宋体"/>
                      <w:szCs w:val="21"/>
                      <w:highlight w:val="none"/>
                    </w:rPr>
                    <w:t>昼间</w:t>
                  </w:r>
                </w:p>
              </w:tc>
              <w:tc>
                <w:tcPr>
                  <w:tcW w:w="1119" w:type="pct"/>
                  <w:tcBorders>
                    <w:tl2br w:val="nil"/>
                    <w:tr2bl w:val="nil"/>
                  </w:tcBorders>
                  <w:vAlign w:val="center"/>
                </w:tcPr>
                <w:p w14:paraId="0F83DE31">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46</w:t>
                  </w:r>
                </w:p>
              </w:tc>
              <w:tc>
                <w:tcPr>
                  <w:tcW w:w="1060" w:type="pct"/>
                  <w:tcBorders>
                    <w:tl2br w:val="nil"/>
                    <w:tr2bl w:val="nil"/>
                  </w:tcBorders>
                  <w:vAlign w:val="center"/>
                </w:tcPr>
                <w:p w14:paraId="00860A2B">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46</w:t>
                  </w:r>
                </w:p>
              </w:tc>
              <w:tc>
                <w:tcPr>
                  <w:tcW w:w="653" w:type="pct"/>
                  <w:tcBorders>
                    <w:tl2br w:val="nil"/>
                    <w:tr2bl w:val="nil"/>
                  </w:tcBorders>
                  <w:vAlign w:val="center"/>
                </w:tcPr>
                <w:p w14:paraId="568214E6">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szCs w:val="21"/>
                      <w:highlight w:val="none"/>
                      <w:lang w:val="en-US" w:eastAsia="zh-CN"/>
                    </w:rPr>
                    <w:t>60</w:t>
                  </w:r>
                </w:p>
              </w:tc>
              <w:tc>
                <w:tcPr>
                  <w:tcW w:w="463" w:type="pct"/>
                  <w:tcBorders>
                    <w:tl2br w:val="nil"/>
                    <w:tr2bl w:val="nil"/>
                  </w:tcBorders>
                  <w:vAlign w:val="center"/>
                </w:tcPr>
                <w:p w14:paraId="1F6E5573">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5AFF5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22" w:type="pct"/>
                  <w:vMerge w:val="continue"/>
                  <w:tcBorders>
                    <w:tl2br w:val="nil"/>
                    <w:tr2bl w:val="nil"/>
                  </w:tcBorders>
                  <w:vAlign w:val="center"/>
                </w:tcPr>
                <w:p w14:paraId="6EA3B796">
                  <w:pPr>
                    <w:snapToGrid w:val="0"/>
                    <w:spacing w:line="240" w:lineRule="auto"/>
                    <w:jc w:val="center"/>
                    <w:rPr>
                      <w:rFonts w:hint="eastAsia" w:ascii="Times New Roman" w:hAnsi="Times New Roman" w:eastAsia="宋体" w:cs="宋体"/>
                      <w:sz w:val="21"/>
                      <w:szCs w:val="21"/>
                      <w:highlight w:val="none"/>
                      <w:lang w:val="en-US" w:eastAsia="zh-CN"/>
                    </w:rPr>
                  </w:pPr>
                </w:p>
              </w:tc>
              <w:tc>
                <w:tcPr>
                  <w:tcW w:w="580" w:type="pct"/>
                  <w:tcBorders>
                    <w:tl2br w:val="nil"/>
                    <w:tr2bl w:val="nil"/>
                  </w:tcBorders>
                  <w:vAlign w:val="center"/>
                </w:tcPr>
                <w:p w14:paraId="3268B3D5">
                  <w:pPr>
                    <w:spacing w:before="31" w:beforeLines="10" w:after="31" w:afterLines="10"/>
                    <w:jc w:val="center"/>
                    <w:rPr>
                      <w:rFonts w:hint="eastAsia"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夜间</w:t>
                  </w:r>
                </w:p>
              </w:tc>
              <w:tc>
                <w:tcPr>
                  <w:tcW w:w="1119" w:type="pct"/>
                  <w:tcBorders>
                    <w:tl2br w:val="nil"/>
                    <w:tr2bl w:val="nil"/>
                  </w:tcBorders>
                  <w:vAlign w:val="center"/>
                </w:tcPr>
                <w:p w14:paraId="2DDF7690">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41</w:t>
                  </w:r>
                </w:p>
              </w:tc>
              <w:tc>
                <w:tcPr>
                  <w:tcW w:w="1060" w:type="pct"/>
                  <w:tcBorders>
                    <w:tl2br w:val="nil"/>
                    <w:tr2bl w:val="nil"/>
                  </w:tcBorders>
                  <w:vAlign w:val="center"/>
                </w:tcPr>
                <w:p w14:paraId="3F982E70">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40</w:t>
                  </w:r>
                </w:p>
              </w:tc>
              <w:tc>
                <w:tcPr>
                  <w:tcW w:w="653" w:type="pct"/>
                  <w:tcBorders>
                    <w:tl2br w:val="nil"/>
                    <w:tr2bl w:val="nil"/>
                  </w:tcBorders>
                  <w:vAlign w:val="center"/>
                </w:tcPr>
                <w:p w14:paraId="55714480">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cstheme="minorBidi"/>
                      <w:kern w:val="2"/>
                      <w:sz w:val="21"/>
                      <w:szCs w:val="21"/>
                      <w:highlight w:val="none"/>
                      <w:lang w:val="en-US" w:eastAsia="zh-CN" w:bidi="ar-SA"/>
                    </w:rPr>
                    <w:t>50</w:t>
                  </w:r>
                </w:p>
              </w:tc>
              <w:tc>
                <w:tcPr>
                  <w:tcW w:w="463" w:type="pct"/>
                  <w:tcBorders>
                    <w:tl2br w:val="nil"/>
                    <w:tr2bl w:val="nil"/>
                  </w:tcBorders>
                  <w:vAlign w:val="center"/>
                </w:tcPr>
                <w:p w14:paraId="7CA68390">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1AF77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restart"/>
                  <w:tcBorders>
                    <w:tl2br w:val="nil"/>
                    <w:tr2bl w:val="nil"/>
                  </w:tcBorders>
                  <w:vAlign w:val="center"/>
                </w:tcPr>
                <w:p w14:paraId="7F3DA554">
                  <w:pPr>
                    <w:keepNext w:val="0"/>
                    <w:keepLines w:val="0"/>
                    <w:pageBreakBefore w:val="0"/>
                    <w:widowControl w:val="0"/>
                    <w:kinsoku/>
                    <w:wordWrap/>
                    <w:overflowPunct/>
                    <w:topLinePunct w:val="0"/>
                    <w:autoSpaceDE/>
                    <w:autoSpaceDN/>
                    <w:bidi w:val="0"/>
                    <w:adjustRightInd w:val="0"/>
                    <w:snapToGrid/>
                    <w:spacing w:line="240" w:lineRule="auto"/>
                    <w:ind w:right="0" w:rightChars="0"/>
                    <w:jc w:val="center"/>
                    <w:textAlignment w:val="auto"/>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敏感点横山村N10</w:t>
                  </w:r>
                </w:p>
              </w:tc>
              <w:tc>
                <w:tcPr>
                  <w:tcW w:w="580" w:type="pct"/>
                  <w:tcBorders>
                    <w:tl2br w:val="nil"/>
                    <w:tr2bl w:val="nil"/>
                  </w:tcBorders>
                  <w:vAlign w:val="center"/>
                </w:tcPr>
                <w:p w14:paraId="39BAE741">
                  <w:pPr>
                    <w:spacing w:before="31" w:beforeLines="10" w:after="31" w:afterLines="10"/>
                    <w:jc w:val="center"/>
                    <w:rPr>
                      <w:rFonts w:hint="eastAsia" w:ascii="Times New Roman" w:hAnsi="Times New Roman" w:eastAsia="宋体"/>
                      <w:szCs w:val="21"/>
                      <w:highlight w:val="none"/>
                      <w:lang w:val="en-US" w:eastAsia="zh-CN"/>
                    </w:rPr>
                  </w:pPr>
                  <w:r>
                    <w:rPr>
                      <w:rFonts w:ascii="Times New Roman" w:hAnsi="Times New Roman" w:eastAsia="宋体"/>
                      <w:szCs w:val="21"/>
                      <w:highlight w:val="none"/>
                    </w:rPr>
                    <w:t>昼间</w:t>
                  </w:r>
                </w:p>
              </w:tc>
              <w:tc>
                <w:tcPr>
                  <w:tcW w:w="1119" w:type="pct"/>
                  <w:tcBorders>
                    <w:tl2br w:val="nil"/>
                    <w:tr2bl w:val="nil"/>
                  </w:tcBorders>
                  <w:vAlign w:val="center"/>
                </w:tcPr>
                <w:p w14:paraId="550085E4">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45</w:t>
                  </w:r>
                </w:p>
              </w:tc>
              <w:tc>
                <w:tcPr>
                  <w:tcW w:w="1060" w:type="pct"/>
                  <w:tcBorders>
                    <w:tl2br w:val="nil"/>
                    <w:tr2bl w:val="nil"/>
                  </w:tcBorders>
                  <w:vAlign w:val="center"/>
                </w:tcPr>
                <w:p w14:paraId="55C01257">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44</w:t>
                  </w:r>
                </w:p>
              </w:tc>
              <w:tc>
                <w:tcPr>
                  <w:tcW w:w="653" w:type="pct"/>
                  <w:tcBorders>
                    <w:tl2br w:val="nil"/>
                    <w:tr2bl w:val="nil"/>
                  </w:tcBorders>
                  <w:vAlign w:val="center"/>
                </w:tcPr>
                <w:p w14:paraId="49574DB1">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szCs w:val="21"/>
                      <w:highlight w:val="none"/>
                      <w:lang w:val="en-US" w:eastAsia="zh-CN"/>
                    </w:rPr>
                    <w:t>60</w:t>
                  </w:r>
                </w:p>
              </w:tc>
              <w:tc>
                <w:tcPr>
                  <w:tcW w:w="463" w:type="pct"/>
                  <w:tcBorders>
                    <w:tl2br w:val="nil"/>
                    <w:tr2bl w:val="nil"/>
                  </w:tcBorders>
                  <w:vAlign w:val="center"/>
                </w:tcPr>
                <w:p w14:paraId="7E3FAEEE">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r w14:paraId="44A03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22" w:type="pct"/>
                  <w:vMerge w:val="continue"/>
                  <w:tcBorders>
                    <w:tl2br w:val="nil"/>
                    <w:tr2bl w:val="nil"/>
                  </w:tcBorders>
                  <w:vAlign w:val="center"/>
                </w:tcPr>
                <w:p w14:paraId="2E859E09">
                  <w:pPr>
                    <w:snapToGrid w:val="0"/>
                    <w:spacing w:line="240" w:lineRule="auto"/>
                    <w:jc w:val="center"/>
                    <w:rPr>
                      <w:rFonts w:hint="eastAsia" w:ascii="Times New Roman" w:hAnsi="Times New Roman" w:eastAsia="宋体" w:cs="宋体"/>
                      <w:sz w:val="21"/>
                      <w:szCs w:val="21"/>
                      <w:highlight w:val="none"/>
                      <w:lang w:val="en-US" w:eastAsia="zh-CN"/>
                    </w:rPr>
                  </w:pPr>
                </w:p>
              </w:tc>
              <w:tc>
                <w:tcPr>
                  <w:tcW w:w="580" w:type="pct"/>
                  <w:tcBorders>
                    <w:tl2br w:val="nil"/>
                    <w:tr2bl w:val="nil"/>
                  </w:tcBorders>
                  <w:vAlign w:val="center"/>
                </w:tcPr>
                <w:p w14:paraId="010516C8">
                  <w:pPr>
                    <w:spacing w:before="31" w:beforeLines="10" w:after="31" w:afterLines="10"/>
                    <w:jc w:val="center"/>
                    <w:rPr>
                      <w:rFonts w:hint="eastAsia"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夜间</w:t>
                  </w:r>
                </w:p>
              </w:tc>
              <w:tc>
                <w:tcPr>
                  <w:tcW w:w="1119" w:type="pct"/>
                  <w:tcBorders>
                    <w:tl2br w:val="nil"/>
                    <w:tr2bl w:val="nil"/>
                  </w:tcBorders>
                  <w:vAlign w:val="center"/>
                </w:tcPr>
                <w:p w14:paraId="059A31DF">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39</w:t>
                  </w:r>
                </w:p>
              </w:tc>
              <w:tc>
                <w:tcPr>
                  <w:tcW w:w="1060" w:type="pct"/>
                  <w:tcBorders>
                    <w:tl2br w:val="nil"/>
                    <w:tr2bl w:val="nil"/>
                  </w:tcBorders>
                  <w:vAlign w:val="center"/>
                </w:tcPr>
                <w:p w14:paraId="607FF9A3">
                  <w:pPr>
                    <w:spacing w:before="31" w:beforeLines="10" w:after="31" w:afterLines="10"/>
                    <w:jc w:val="center"/>
                    <w:rPr>
                      <w:rFonts w:hint="default" w:ascii="Times New Roman" w:hAnsi="Times New Roman" w:eastAsia="宋体" w:cstheme="minorBidi"/>
                      <w:b w:val="0"/>
                      <w:bCs w:val="0"/>
                      <w:kern w:val="2"/>
                      <w:sz w:val="21"/>
                      <w:szCs w:val="21"/>
                      <w:highlight w:val="none"/>
                      <w:lang w:val="en-US" w:eastAsia="zh-CN" w:bidi="ar-SA"/>
                    </w:rPr>
                  </w:pPr>
                  <w:r>
                    <w:rPr>
                      <w:rFonts w:hint="eastAsia" w:ascii="Times New Roman" w:hAnsi="Times New Roman" w:eastAsia="宋体" w:cstheme="minorBidi"/>
                      <w:b w:val="0"/>
                      <w:bCs w:val="0"/>
                      <w:kern w:val="2"/>
                      <w:sz w:val="21"/>
                      <w:szCs w:val="21"/>
                      <w:highlight w:val="none"/>
                      <w:lang w:val="en-US" w:eastAsia="zh-CN" w:bidi="ar-SA"/>
                    </w:rPr>
                    <w:t>40</w:t>
                  </w:r>
                </w:p>
              </w:tc>
              <w:tc>
                <w:tcPr>
                  <w:tcW w:w="653" w:type="pct"/>
                  <w:tcBorders>
                    <w:tl2br w:val="nil"/>
                    <w:tr2bl w:val="nil"/>
                  </w:tcBorders>
                  <w:vAlign w:val="center"/>
                </w:tcPr>
                <w:p w14:paraId="294F3CAF">
                  <w:pPr>
                    <w:spacing w:before="31" w:beforeLines="10" w:after="31" w:afterLines="1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eastAsia="宋体" w:cstheme="minorBidi"/>
                      <w:kern w:val="2"/>
                      <w:sz w:val="21"/>
                      <w:szCs w:val="21"/>
                      <w:highlight w:val="none"/>
                      <w:lang w:val="en-US" w:eastAsia="zh-CN" w:bidi="ar-SA"/>
                    </w:rPr>
                    <w:t>50</w:t>
                  </w:r>
                </w:p>
              </w:tc>
              <w:tc>
                <w:tcPr>
                  <w:tcW w:w="463" w:type="pct"/>
                  <w:tcBorders>
                    <w:tl2br w:val="nil"/>
                    <w:tr2bl w:val="nil"/>
                  </w:tcBorders>
                  <w:vAlign w:val="center"/>
                </w:tcPr>
                <w:p w14:paraId="26F43E96">
                  <w:pPr>
                    <w:spacing w:before="31" w:beforeLines="10" w:after="31" w:afterLines="10"/>
                    <w:jc w:val="center"/>
                    <w:rPr>
                      <w:rFonts w:hint="eastAsia" w:ascii="Times New Roman" w:hAnsi="Times New Roman" w:eastAsia="宋体"/>
                      <w:szCs w:val="21"/>
                      <w:highlight w:val="none"/>
                      <w:lang w:eastAsia="zh-CN"/>
                    </w:rPr>
                  </w:pPr>
                  <w:r>
                    <w:rPr>
                      <w:rFonts w:hint="eastAsia" w:ascii="Times New Roman" w:hAnsi="Times New Roman" w:eastAsia="宋体"/>
                      <w:szCs w:val="21"/>
                      <w:highlight w:val="none"/>
                      <w:lang w:eastAsia="zh-CN"/>
                    </w:rPr>
                    <w:t>达标</w:t>
                  </w:r>
                </w:p>
              </w:tc>
            </w:tr>
          </w:tbl>
          <w:p w14:paraId="67DBC743">
            <w:pPr>
              <w:pStyle w:val="22"/>
              <w:spacing w:before="144" w:line="374" w:lineRule="auto"/>
              <w:ind w:left="107" w:right="85" w:firstLine="480"/>
              <w:rPr>
                <w:sz w:val="24"/>
                <w:highlight w:val="none"/>
              </w:rPr>
            </w:pPr>
            <w:r>
              <w:rPr>
                <w:sz w:val="24"/>
                <w:highlight w:val="none"/>
              </w:rPr>
              <w:t>检测期间，该企业生产正常，各项设施运行稳定，生产负荷</w:t>
            </w:r>
            <w:r>
              <w:rPr>
                <w:rFonts w:ascii="Times New Roman" w:eastAsia="Times New Roman"/>
                <w:sz w:val="24"/>
                <w:highlight w:val="none"/>
              </w:rPr>
              <w:t>100</w:t>
            </w:r>
            <w:r>
              <w:rPr>
                <w:rFonts w:ascii="Times New Roman" w:eastAsia="Times New Roman"/>
                <w:sz w:val="24"/>
                <w:highlight w:val="none"/>
              </w:rPr>
              <w:t>%</w:t>
            </w:r>
            <w:r>
              <w:rPr>
                <w:sz w:val="24"/>
                <w:highlight w:val="none"/>
              </w:rPr>
              <w:t>， 满足验收检测技术规范要求。</w:t>
            </w:r>
          </w:p>
          <w:p w14:paraId="1F228D70">
            <w:pPr>
              <w:pStyle w:val="22"/>
              <w:spacing w:before="1" w:line="374" w:lineRule="auto"/>
              <w:ind w:left="107" w:right="-29" w:firstLine="480"/>
              <w:rPr>
                <w:rFonts w:hint="eastAsia" w:eastAsia="宋体"/>
                <w:sz w:val="24"/>
                <w:highlight w:val="none"/>
                <w:lang w:val="en-US" w:eastAsia="zh-CN"/>
              </w:rPr>
            </w:pPr>
            <w:r>
              <w:rPr>
                <w:spacing w:val="-3"/>
                <w:sz w:val="24"/>
                <w:highlight w:val="none"/>
              </w:rPr>
              <w:t>经检测，该项目</w:t>
            </w:r>
            <w:r>
              <w:rPr>
                <w:rFonts w:hint="eastAsia"/>
                <w:spacing w:val="-3"/>
                <w:sz w:val="24"/>
                <w:highlight w:val="none"/>
                <w:lang w:val="en-US" w:eastAsia="zh-CN"/>
              </w:rPr>
              <w:t>场区</w:t>
            </w:r>
            <w:r>
              <w:rPr>
                <w:spacing w:val="-3"/>
                <w:sz w:val="24"/>
                <w:highlight w:val="none"/>
              </w:rPr>
              <w:t>厂界昼间噪声值范围为</w:t>
            </w:r>
            <w:r>
              <w:rPr>
                <w:rFonts w:hint="eastAsia" w:ascii="Times New Roman"/>
                <w:sz w:val="24"/>
                <w:highlight w:val="none"/>
                <w:lang w:val="en-US" w:eastAsia="zh-CN"/>
              </w:rPr>
              <w:t>41</w:t>
            </w:r>
            <w:r>
              <w:rPr>
                <w:rFonts w:ascii="Times New Roman" w:eastAsia="Times New Roman"/>
                <w:sz w:val="24"/>
                <w:highlight w:val="none"/>
              </w:rPr>
              <w:t>-5</w:t>
            </w:r>
            <w:r>
              <w:rPr>
                <w:rFonts w:hint="eastAsia" w:ascii="Times New Roman"/>
                <w:sz w:val="24"/>
                <w:highlight w:val="none"/>
                <w:lang w:val="en-US" w:eastAsia="zh-CN"/>
              </w:rPr>
              <w:t>4</w:t>
            </w:r>
            <w:r>
              <w:rPr>
                <w:rFonts w:ascii="Times New Roman" w:eastAsia="Times New Roman"/>
                <w:sz w:val="24"/>
                <w:highlight w:val="none"/>
              </w:rPr>
              <w:t>dB(A)</w:t>
            </w:r>
            <w:r>
              <w:rPr>
                <w:spacing w:val="-4"/>
                <w:sz w:val="24"/>
                <w:highlight w:val="none"/>
              </w:rPr>
              <w:t>、夜间噪声值范围为</w:t>
            </w:r>
            <w:r>
              <w:rPr>
                <w:rFonts w:hint="eastAsia" w:ascii="Times New Roman"/>
                <w:spacing w:val="-4"/>
                <w:sz w:val="24"/>
                <w:highlight w:val="none"/>
                <w:lang w:val="en-US" w:eastAsia="zh-CN"/>
              </w:rPr>
              <w:t>39</w:t>
            </w:r>
            <w:r>
              <w:rPr>
                <w:rFonts w:ascii="Times New Roman" w:eastAsia="Times New Roman"/>
                <w:spacing w:val="-4"/>
                <w:sz w:val="24"/>
                <w:highlight w:val="none"/>
              </w:rPr>
              <w:t>-4</w:t>
            </w:r>
            <w:r>
              <w:rPr>
                <w:rFonts w:hint="eastAsia" w:ascii="Times New Roman"/>
                <w:spacing w:val="-4"/>
                <w:sz w:val="24"/>
                <w:highlight w:val="none"/>
                <w:lang w:val="en-US" w:eastAsia="zh-CN"/>
              </w:rPr>
              <w:t>1</w:t>
            </w:r>
            <w:r>
              <w:rPr>
                <w:rFonts w:ascii="Times New Roman" w:eastAsia="Times New Roman"/>
                <w:spacing w:val="-4"/>
                <w:sz w:val="24"/>
                <w:highlight w:val="none"/>
              </w:rPr>
              <w:t xml:space="preserve"> </w:t>
            </w:r>
            <w:r>
              <w:rPr>
                <w:rFonts w:ascii="Times New Roman" w:eastAsia="Times New Roman"/>
                <w:spacing w:val="-3"/>
                <w:sz w:val="24"/>
                <w:highlight w:val="none"/>
              </w:rPr>
              <w:t>dB(A)</w:t>
            </w:r>
            <w:r>
              <w:rPr>
                <w:spacing w:val="-4"/>
                <w:sz w:val="24"/>
                <w:highlight w:val="none"/>
              </w:rPr>
              <w:t>，符合《工业企业厂界环境噪声排放标准》</w:t>
            </w:r>
            <w:r>
              <w:rPr>
                <w:rFonts w:ascii="Times New Roman" w:eastAsia="Times New Roman"/>
                <w:spacing w:val="-4"/>
                <w:sz w:val="24"/>
                <w:highlight w:val="none"/>
              </w:rPr>
              <w:t>(GB12348-2008)</w:t>
            </w:r>
            <w:r>
              <w:rPr>
                <w:rFonts w:ascii="Times New Roman" w:eastAsia="Times New Roman"/>
                <w:spacing w:val="58"/>
                <w:sz w:val="24"/>
                <w:highlight w:val="none"/>
              </w:rPr>
              <w:t xml:space="preserve"> </w:t>
            </w:r>
            <w:r>
              <w:rPr>
                <w:sz w:val="24"/>
                <w:highlight w:val="none"/>
              </w:rPr>
              <w:t>中</w:t>
            </w:r>
            <w:r>
              <w:rPr>
                <w:rFonts w:hint="eastAsia" w:ascii="Times New Roman"/>
                <w:sz w:val="24"/>
                <w:highlight w:val="none"/>
                <w:lang w:val="en-US" w:eastAsia="zh-CN"/>
              </w:rPr>
              <w:t>2</w:t>
            </w:r>
            <w:r>
              <w:rPr>
                <w:sz w:val="24"/>
                <w:highlight w:val="none"/>
              </w:rPr>
              <w:t>类标准限值要求（昼间：</w:t>
            </w:r>
            <w:r>
              <w:rPr>
                <w:rFonts w:hint="eastAsia" w:ascii="Times New Roman"/>
                <w:sz w:val="24"/>
                <w:highlight w:val="none"/>
                <w:lang w:val="en-US" w:eastAsia="zh-CN"/>
              </w:rPr>
              <w:t>60</w:t>
            </w:r>
            <w:r>
              <w:rPr>
                <w:rFonts w:ascii="Times New Roman" w:eastAsia="Times New Roman"/>
                <w:sz w:val="24"/>
                <w:highlight w:val="none"/>
              </w:rPr>
              <w:t>dB</w:t>
            </w:r>
            <w:r>
              <w:rPr>
                <w:sz w:val="24"/>
                <w:highlight w:val="none"/>
              </w:rPr>
              <w:t>〔</w:t>
            </w:r>
            <w:r>
              <w:rPr>
                <w:rFonts w:ascii="Times New Roman" w:eastAsia="Times New Roman"/>
                <w:sz w:val="24"/>
                <w:highlight w:val="none"/>
              </w:rPr>
              <w:t>A</w:t>
            </w:r>
            <w:r>
              <w:rPr>
                <w:sz w:val="24"/>
                <w:highlight w:val="none"/>
              </w:rPr>
              <w:t xml:space="preserve">〕、夜间： </w:t>
            </w:r>
            <w:r>
              <w:rPr>
                <w:rFonts w:hint="eastAsia" w:ascii="Times New Roman"/>
                <w:sz w:val="24"/>
                <w:highlight w:val="none"/>
                <w:lang w:val="en-US" w:eastAsia="zh-CN"/>
              </w:rPr>
              <w:t>50</w:t>
            </w:r>
            <w:r>
              <w:rPr>
                <w:rFonts w:ascii="Times New Roman" w:eastAsia="Times New Roman"/>
                <w:sz w:val="24"/>
                <w:highlight w:val="none"/>
              </w:rPr>
              <w:t>dB</w:t>
            </w:r>
            <w:r>
              <w:rPr>
                <w:sz w:val="24"/>
                <w:highlight w:val="none"/>
              </w:rPr>
              <w:t>〔</w:t>
            </w:r>
            <w:r>
              <w:rPr>
                <w:rFonts w:ascii="Times New Roman" w:eastAsia="Times New Roman"/>
                <w:sz w:val="24"/>
                <w:highlight w:val="none"/>
              </w:rPr>
              <w:t>A</w:t>
            </w:r>
            <w:r>
              <w:rPr>
                <w:sz w:val="24"/>
                <w:highlight w:val="none"/>
              </w:rPr>
              <w:t>〕）。</w:t>
            </w:r>
            <w:r>
              <w:rPr>
                <w:rFonts w:hint="eastAsia"/>
                <w:sz w:val="24"/>
                <w:highlight w:val="none"/>
                <w:lang w:val="en-US" w:eastAsia="zh-CN"/>
              </w:rPr>
              <w:t>周边敏感点昼间噪声值范围为44-54dB(A)、夜间噪声值范围为39-41 dB(A)，</w:t>
            </w:r>
            <w:r>
              <w:rPr>
                <w:spacing w:val="-4"/>
                <w:sz w:val="24"/>
                <w:highlight w:val="none"/>
              </w:rPr>
              <w:t>符合</w:t>
            </w:r>
            <w:r>
              <w:rPr>
                <w:rFonts w:hint="eastAsia"/>
                <w:spacing w:val="-4"/>
                <w:sz w:val="24"/>
                <w:highlight w:val="none"/>
                <w:lang w:eastAsia="zh-CN"/>
              </w:rPr>
              <w:t>《</w:t>
            </w:r>
            <w:r>
              <w:rPr>
                <w:rFonts w:hint="eastAsia"/>
                <w:spacing w:val="-4"/>
                <w:sz w:val="24"/>
                <w:highlight w:val="none"/>
                <w:lang w:val="en-US" w:eastAsia="zh-CN"/>
              </w:rPr>
              <w:t>声环境质量标准</w:t>
            </w:r>
            <w:r>
              <w:rPr>
                <w:rFonts w:hint="eastAsia"/>
                <w:spacing w:val="-4"/>
                <w:sz w:val="24"/>
                <w:highlight w:val="none"/>
                <w:lang w:eastAsia="zh-CN"/>
              </w:rPr>
              <w:t>》（</w:t>
            </w:r>
            <w:r>
              <w:rPr>
                <w:rFonts w:hint="eastAsia"/>
                <w:spacing w:val="-4"/>
                <w:sz w:val="24"/>
                <w:highlight w:val="none"/>
                <w:lang w:val="en-US" w:eastAsia="zh-CN"/>
              </w:rPr>
              <w:t>GB3096-2008</w:t>
            </w:r>
            <w:r>
              <w:rPr>
                <w:rFonts w:hint="eastAsia"/>
                <w:spacing w:val="-4"/>
                <w:sz w:val="24"/>
                <w:highlight w:val="none"/>
                <w:lang w:eastAsia="zh-CN"/>
              </w:rPr>
              <w:t>）</w:t>
            </w:r>
            <w:r>
              <w:rPr>
                <w:rFonts w:hint="eastAsia"/>
                <w:spacing w:val="-4"/>
                <w:sz w:val="24"/>
                <w:highlight w:val="none"/>
                <w:lang w:val="en-US" w:eastAsia="zh-CN"/>
              </w:rPr>
              <w:t>2类区</w:t>
            </w:r>
            <w:r>
              <w:rPr>
                <w:sz w:val="24"/>
                <w:highlight w:val="none"/>
              </w:rPr>
              <w:t>（昼间：</w:t>
            </w:r>
            <w:r>
              <w:rPr>
                <w:rFonts w:hint="eastAsia" w:ascii="Times New Roman"/>
                <w:sz w:val="24"/>
                <w:highlight w:val="none"/>
                <w:lang w:val="en-US" w:eastAsia="zh-CN"/>
              </w:rPr>
              <w:t>60</w:t>
            </w:r>
            <w:r>
              <w:rPr>
                <w:rFonts w:ascii="Times New Roman" w:eastAsia="Times New Roman"/>
                <w:sz w:val="24"/>
                <w:highlight w:val="none"/>
              </w:rPr>
              <w:t>dB</w:t>
            </w:r>
            <w:r>
              <w:rPr>
                <w:sz w:val="24"/>
                <w:highlight w:val="none"/>
              </w:rPr>
              <w:t>〔</w:t>
            </w:r>
            <w:r>
              <w:rPr>
                <w:rFonts w:ascii="Times New Roman" w:eastAsia="Times New Roman"/>
                <w:sz w:val="24"/>
                <w:highlight w:val="none"/>
              </w:rPr>
              <w:t>A</w:t>
            </w:r>
            <w:r>
              <w:rPr>
                <w:sz w:val="24"/>
                <w:highlight w:val="none"/>
              </w:rPr>
              <w:t xml:space="preserve">〕、夜间： </w:t>
            </w:r>
            <w:r>
              <w:rPr>
                <w:rFonts w:hint="eastAsia" w:ascii="Times New Roman"/>
                <w:sz w:val="24"/>
                <w:highlight w:val="none"/>
                <w:lang w:val="en-US" w:eastAsia="zh-CN"/>
              </w:rPr>
              <w:t>50</w:t>
            </w:r>
            <w:r>
              <w:rPr>
                <w:rFonts w:ascii="Times New Roman" w:eastAsia="Times New Roman"/>
                <w:sz w:val="24"/>
                <w:highlight w:val="none"/>
              </w:rPr>
              <w:t>dB</w:t>
            </w:r>
            <w:r>
              <w:rPr>
                <w:sz w:val="24"/>
                <w:highlight w:val="none"/>
              </w:rPr>
              <w:t>〔</w:t>
            </w:r>
            <w:r>
              <w:rPr>
                <w:rFonts w:ascii="Times New Roman" w:eastAsia="Times New Roman"/>
                <w:sz w:val="24"/>
                <w:highlight w:val="none"/>
              </w:rPr>
              <w:t>A</w:t>
            </w:r>
            <w:r>
              <w:rPr>
                <w:sz w:val="24"/>
                <w:highlight w:val="none"/>
              </w:rPr>
              <w:t>〕）</w:t>
            </w:r>
            <w:r>
              <w:rPr>
                <w:rFonts w:hint="eastAsia"/>
                <w:sz w:val="24"/>
                <w:highlight w:val="none"/>
                <w:lang w:eastAsia="zh-CN"/>
              </w:rPr>
              <w:t>。</w:t>
            </w:r>
          </w:p>
          <w:p w14:paraId="691E6BBB">
            <w:pPr>
              <w:pStyle w:val="22"/>
              <w:keepNext w:val="0"/>
              <w:keepLines w:val="0"/>
              <w:pageBreakBefore w:val="0"/>
              <w:widowControl w:val="0"/>
              <w:kinsoku/>
              <w:wordWrap/>
              <w:overflowPunct/>
              <w:topLinePunct w:val="0"/>
              <w:autoSpaceDE w:val="0"/>
              <w:autoSpaceDN w:val="0"/>
              <w:bidi w:val="0"/>
              <w:adjustRightInd/>
              <w:snapToGrid/>
              <w:spacing w:before="0" w:line="375" w:lineRule="auto"/>
              <w:ind w:left="0" w:right="0" w:firstLine="0"/>
              <w:jc w:val="center"/>
              <w:textAlignment w:val="auto"/>
              <w:rPr>
                <w:sz w:val="24"/>
                <w:highlight w:val="none"/>
              </w:rPr>
            </w:pPr>
            <w:r>
              <w:rPr>
                <w:highlight w:val="none"/>
              </w:rPr>
              <w:drawing>
                <wp:inline distT="0" distB="0" distL="114300" distR="114300">
                  <wp:extent cx="5050790" cy="3047365"/>
                  <wp:effectExtent l="0" t="0" r="165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050790" cy="3047365"/>
                          </a:xfrm>
                          <a:prstGeom prst="rect">
                            <a:avLst/>
                          </a:prstGeom>
                          <a:noFill/>
                          <a:ln>
                            <a:noFill/>
                          </a:ln>
                        </pic:spPr>
                      </pic:pic>
                    </a:graphicData>
                  </a:graphic>
                </wp:inline>
              </w:drawing>
            </w:r>
          </w:p>
          <w:p w14:paraId="35A39769">
            <w:pPr>
              <w:pStyle w:val="22"/>
              <w:spacing w:before="45" w:line="242" w:lineRule="auto"/>
              <w:ind w:left="230" w:right="206"/>
              <w:jc w:val="center"/>
              <w:rPr>
                <w:sz w:val="24"/>
                <w:highlight w:val="none"/>
              </w:rPr>
            </w:pPr>
            <w:r>
              <w:rPr>
                <w:b/>
                <w:sz w:val="24"/>
                <w:highlight w:val="none"/>
              </w:rPr>
              <w:t>图</w:t>
            </w:r>
            <w:r>
              <w:rPr>
                <w:rFonts w:ascii="Times New Roman" w:eastAsia="Times New Roman"/>
                <w:b/>
                <w:sz w:val="24"/>
                <w:highlight w:val="none"/>
              </w:rPr>
              <w:t>5</w:t>
            </w:r>
            <w:r>
              <w:rPr>
                <w:rFonts w:ascii="Times New Roman" w:eastAsia="Times New Roman"/>
                <w:b/>
                <w:sz w:val="24"/>
                <w:highlight w:val="none"/>
              </w:rPr>
              <w:tab/>
            </w:r>
            <w:r>
              <w:rPr>
                <w:b/>
                <w:sz w:val="24"/>
                <w:highlight w:val="none"/>
              </w:rPr>
              <w:t>厂界噪声监测点位图</w:t>
            </w:r>
          </w:p>
          <w:p w14:paraId="724CB5B4">
            <w:pPr>
              <w:pStyle w:val="22"/>
              <w:spacing w:before="45" w:line="242" w:lineRule="auto"/>
              <w:ind w:left="230" w:right="206"/>
              <w:jc w:val="center"/>
              <w:rPr>
                <w:sz w:val="24"/>
                <w:highlight w:val="none"/>
              </w:rPr>
            </w:pPr>
          </w:p>
        </w:tc>
      </w:tr>
    </w:tbl>
    <w:p w14:paraId="02E9C9EA">
      <w:pPr>
        <w:rPr>
          <w:sz w:val="2"/>
          <w:szCs w:val="2"/>
          <w:highlight w:val="none"/>
        </w:rPr>
      </w:pPr>
    </w:p>
    <w:p w14:paraId="3B48FD6E">
      <w:pPr>
        <w:spacing w:after="0"/>
        <w:rPr>
          <w:sz w:val="2"/>
          <w:szCs w:val="2"/>
          <w:highlight w:val="none"/>
        </w:rPr>
        <w:sectPr>
          <w:pgSz w:w="11910" w:h="16840"/>
          <w:pgMar w:top="1420" w:right="1440" w:bottom="1340" w:left="1580" w:header="0" w:footer="1160" w:gutter="0"/>
          <w:cols w:space="720" w:num="1"/>
        </w:sectPr>
      </w:pPr>
    </w:p>
    <w:p w14:paraId="4C50B47A">
      <w:pPr>
        <w:pStyle w:val="2"/>
        <w:tabs>
          <w:tab w:val="left" w:pos="799"/>
        </w:tabs>
        <w:ind w:right="213"/>
        <w:rPr>
          <w:highlight w:val="none"/>
        </w:rPr>
      </w:pPr>
      <w:r>
        <w:rPr>
          <w:highlight w:val="none"/>
        </w:rPr>
        <w:t>表</w:t>
      </w:r>
      <w:r>
        <w:rPr>
          <w:rFonts w:ascii="Times New Roman" w:eastAsia="Times New Roman"/>
          <w:highlight w:val="none"/>
        </w:rPr>
        <w:t>9</w:t>
      </w:r>
      <w:r>
        <w:rPr>
          <w:rFonts w:ascii="Times New Roman" w:eastAsia="Times New Roman"/>
          <w:highlight w:val="none"/>
        </w:rPr>
        <w:tab/>
      </w:r>
      <w:r>
        <w:rPr>
          <w:highlight w:val="none"/>
        </w:rPr>
        <w:t>环境管理状况及监测计划</w:t>
      </w:r>
    </w:p>
    <w:p w14:paraId="3101EBFE">
      <w:pPr>
        <w:pStyle w:val="5"/>
        <w:spacing w:before="12"/>
        <w:rPr>
          <w:b/>
          <w:sz w:val="4"/>
          <w:highlight w:val="none"/>
        </w:rPr>
      </w:pPr>
    </w:p>
    <w:tbl>
      <w:tblPr>
        <w:tblStyle w:val="10"/>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21"/>
      </w:tblGrid>
      <w:tr w14:paraId="63E72B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29" w:hRule="atLeast"/>
        </w:trPr>
        <w:tc>
          <w:tcPr>
            <w:tcW w:w="8521" w:type="dxa"/>
            <w:tcBorders>
              <w:bottom w:val="single" w:color="000000" w:sz="4" w:space="0"/>
            </w:tcBorders>
          </w:tcPr>
          <w:p w14:paraId="58DC5BB4">
            <w:pPr>
              <w:pStyle w:val="22"/>
              <w:spacing w:before="37"/>
              <w:ind w:left="215"/>
              <w:rPr>
                <w:b/>
                <w:sz w:val="24"/>
                <w:highlight w:val="none"/>
              </w:rPr>
            </w:pPr>
            <w:r>
              <w:rPr>
                <w:b/>
                <w:sz w:val="24"/>
                <w:highlight w:val="none"/>
              </w:rPr>
              <w:t>环境管理机构设置：</w:t>
            </w:r>
          </w:p>
          <w:p w14:paraId="0BAF498E">
            <w:pPr>
              <w:pStyle w:val="22"/>
              <w:spacing w:before="38"/>
              <w:ind w:left="215"/>
              <w:rPr>
                <w:b/>
                <w:sz w:val="24"/>
                <w:highlight w:val="none"/>
              </w:rPr>
            </w:pPr>
            <w:r>
              <w:rPr>
                <w:rFonts w:ascii="Times New Roman" w:eastAsia="Times New Roman"/>
                <w:b/>
                <w:sz w:val="24"/>
                <w:highlight w:val="none"/>
              </w:rPr>
              <w:t>1</w:t>
            </w:r>
            <w:r>
              <w:rPr>
                <w:b/>
                <w:sz w:val="24"/>
                <w:highlight w:val="none"/>
              </w:rPr>
              <w:t>、施工期环境管理</w:t>
            </w:r>
          </w:p>
          <w:p w14:paraId="22AD3BF0">
            <w:pPr>
              <w:pStyle w:val="22"/>
              <w:spacing w:before="3" w:line="480" w:lineRule="exact"/>
              <w:ind w:left="107" w:right="87" w:firstLine="480"/>
              <w:rPr>
                <w:sz w:val="24"/>
                <w:highlight w:val="none"/>
              </w:rPr>
            </w:pPr>
            <w:r>
              <w:rPr>
                <w:spacing w:val="-5"/>
                <w:sz w:val="24"/>
                <w:highlight w:val="none"/>
              </w:rPr>
              <w:t>施工期环境保护管理由工程建设单位和施工单位共同负责。配备专职和兼职</w:t>
            </w:r>
            <w:r>
              <w:rPr>
                <w:sz w:val="24"/>
                <w:highlight w:val="none"/>
              </w:rPr>
              <w:t>人员，负责环境保护管理工作。</w:t>
            </w:r>
          </w:p>
          <w:p w14:paraId="4666B1E8">
            <w:pPr>
              <w:pStyle w:val="22"/>
              <w:spacing w:before="35"/>
              <w:ind w:left="215"/>
              <w:rPr>
                <w:b/>
                <w:sz w:val="24"/>
                <w:highlight w:val="none"/>
              </w:rPr>
            </w:pPr>
            <w:r>
              <w:rPr>
                <w:rFonts w:ascii="Times New Roman" w:eastAsia="Times New Roman"/>
                <w:b/>
                <w:sz w:val="24"/>
                <w:highlight w:val="none"/>
              </w:rPr>
              <w:t>2</w:t>
            </w:r>
            <w:r>
              <w:rPr>
                <w:b/>
                <w:sz w:val="24"/>
                <w:highlight w:val="none"/>
              </w:rPr>
              <w:t>、运营期环境管理</w:t>
            </w:r>
          </w:p>
          <w:p w14:paraId="5B7FA02E">
            <w:pPr>
              <w:pStyle w:val="22"/>
              <w:spacing w:before="147" w:line="374" w:lineRule="auto"/>
              <w:ind w:left="107" w:right="87" w:firstLine="480"/>
              <w:rPr>
                <w:sz w:val="24"/>
                <w:highlight w:val="none"/>
              </w:rPr>
            </w:pPr>
            <w:r>
              <w:rPr>
                <w:spacing w:val="-9"/>
                <w:sz w:val="24"/>
                <w:highlight w:val="none"/>
              </w:rPr>
              <w:t>进一步细化分工，明确责任，切实将环境保护落实到实处。环境监测可委托</w:t>
            </w:r>
            <w:r>
              <w:rPr>
                <w:sz w:val="24"/>
                <w:highlight w:val="none"/>
              </w:rPr>
              <w:t>有资质的环境监测公司进行监测，保证正常运行。</w:t>
            </w:r>
          </w:p>
        </w:tc>
      </w:tr>
      <w:tr w14:paraId="4BE9E2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37" w:hRule="atLeast"/>
        </w:trPr>
        <w:tc>
          <w:tcPr>
            <w:tcW w:w="8521" w:type="dxa"/>
            <w:tcBorders>
              <w:top w:val="single" w:color="000000" w:sz="4" w:space="0"/>
              <w:bottom w:val="single" w:color="000000" w:sz="4" w:space="0"/>
            </w:tcBorders>
          </w:tcPr>
          <w:p w14:paraId="1E60C65D">
            <w:pPr>
              <w:pStyle w:val="22"/>
              <w:spacing w:before="37"/>
              <w:ind w:left="215"/>
              <w:rPr>
                <w:b/>
                <w:sz w:val="24"/>
                <w:highlight w:val="none"/>
              </w:rPr>
            </w:pPr>
            <w:r>
              <w:rPr>
                <w:b/>
                <w:sz w:val="24"/>
                <w:highlight w:val="none"/>
              </w:rPr>
              <w:t>环境监测能力建设情况：</w:t>
            </w:r>
          </w:p>
          <w:p w14:paraId="7D405F11">
            <w:pPr>
              <w:pStyle w:val="22"/>
              <w:spacing w:before="146"/>
              <w:ind w:left="587"/>
              <w:rPr>
                <w:sz w:val="24"/>
                <w:highlight w:val="none"/>
              </w:rPr>
            </w:pPr>
            <w:r>
              <w:rPr>
                <w:sz w:val="24"/>
                <w:highlight w:val="none"/>
              </w:rPr>
              <w:t>项目正式运营后，场区内的日常监测可委托有资质的监测单位负责。</w:t>
            </w:r>
          </w:p>
        </w:tc>
      </w:tr>
      <w:tr w14:paraId="5D4FE8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11" w:hRule="atLeast"/>
        </w:trPr>
        <w:tc>
          <w:tcPr>
            <w:tcW w:w="8521" w:type="dxa"/>
            <w:tcBorders>
              <w:top w:val="single" w:color="000000" w:sz="4" w:space="0"/>
              <w:bottom w:val="single" w:color="000000" w:sz="4" w:space="0"/>
            </w:tcBorders>
          </w:tcPr>
          <w:p w14:paraId="77CF4CFB">
            <w:pPr>
              <w:pStyle w:val="22"/>
              <w:spacing w:before="38"/>
              <w:ind w:left="215"/>
              <w:rPr>
                <w:b/>
                <w:sz w:val="24"/>
                <w:highlight w:val="none"/>
              </w:rPr>
            </w:pPr>
            <w:r>
              <w:rPr>
                <w:b/>
                <w:sz w:val="24"/>
                <w:highlight w:val="none"/>
              </w:rPr>
              <w:t>环境影响报告表中提出的监测计划落实情况：</w:t>
            </w:r>
          </w:p>
          <w:p w14:paraId="39C69C67">
            <w:pPr>
              <w:pStyle w:val="22"/>
              <w:spacing w:before="146" w:line="374" w:lineRule="auto"/>
              <w:ind w:left="107" w:right="231" w:firstLine="480"/>
              <w:rPr>
                <w:sz w:val="24"/>
                <w:highlight w:val="none"/>
              </w:rPr>
            </w:pPr>
            <w:r>
              <w:rPr>
                <w:sz w:val="24"/>
                <w:highlight w:val="none"/>
              </w:rPr>
              <w:t>本项目环境影响报告表中对工程施工期和运行期均未提出相应的环境监测计划。</w:t>
            </w:r>
          </w:p>
        </w:tc>
      </w:tr>
      <w:tr w14:paraId="1780C1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6" w:hRule="atLeast"/>
        </w:trPr>
        <w:tc>
          <w:tcPr>
            <w:tcW w:w="8521" w:type="dxa"/>
            <w:tcBorders>
              <w:top w:val="single" w:color="000000" w:sz="4" w:space="0"/>
            </w:tcBorders>
          </w:tcPr>
          <w:p w14:paraId="3060D379">
            <w:pPr>
              <w:pStyle w:val="22"/>
              <w:spacing w:before="36"/>
              <w:ind w:left="215"/>
              <w:rPr>
                <w:b/>
                <w:sz w:val="24"/>
                <w:highlight w:val="none"/>
              </w:rPr>
            </w:pPr>
            <w:r>
              <w:rPr>
                <w:b/>
                <w:sz w:val="24"/>
                <w:highlight w:val="none"/>
              </w:rPr>
              <w:t>环境管理状况分析与建议：</w:t>
            </w:r>
          </w:p>
          <w:p w14:paraId="04E1FBCA">
            <w:pPr>
              <w:pStyle w:val="22"/>
              <w:spacing w:before="146" w:line="374" w:lineRule="auto"/>
              <w:ind w:left="107" w:right="87" w:firstLine="480"/>
              <w:jc w:val="both"/>
              <w:rPr>
                <w:sz w:val="24"/>
                <w:highlight w:val="none"/>
              </w:rPr>
            </w:pPr>
            <w:r>
              <w:rPr>
                <w:sz w:val="24"/>
                <w:highlight w:val="none"/>
              </w:rPr>
              <w:t>工程投入试运营期间实际定员</w:t>
            </w:r>
            <w:r>
              <w:rPr>
                <w:rFonts w:hint="eastAsia" w:ascii="Times New Roman"/>
                <w:sz w:val="24"/>
                <w:highlight w:val="none"/>
                <w:lang w:val="en-US" w:eastAsia="zh-CN"/>
              </w:rPr>
              <w:t>3</w:t>
            </w:r>
            <w:r>
              <w:rPr>
                <w:spacing w:val="-12"/>
                <w:sz w:val="24"/>
                <w:highlight w:val="none"/>
              </w:rPr>
              <w:t>人，配备专职的环保负责工程区内环境保护</w:t>
            </w:r>
            <w:r>
              <w:rPr>
                <w:spacing w:val="-10"/>
                <w:sz w:val="24"/>
                <w:highlight w:val="none"/>
              </w:rPr>
              <w:t>工作。建设单位应组织对值班及检修人员的环境保护意识教育，日常维护严格遵</w:t>
            </w:r>
            <w:r>
              <w:rPr>
                <w:sz w:val="24"/>
                <w:highlight w:val="none"/>
              </w:rPr>
              <w:t>守环境保护中的各项规定，确保各项环境管理措施的落实。</w:t>
            </w:r>
          </w:p>
          <w:p w14:paraId="72EF92F9">
            <w:pPr>
              <w:pStyle w:val="22"/>
              <w:spacing w:before="1" w:line="374" w:lineRule="auto"/>
              <w:ind w:left="107" w:right="87" w:firstLine="480"/>
              <w:rPr>
                <w:sz w:val="24"/>
                <w:highlight w:val="none"/>
              </w:rPr>
            </w:pPr>
            <w:r>
              <w:rPr>
                <w:spacing w:val="-10"/>
                <w:sz w:val="24"/>
                <w:highlight w:val="none"/>
              </w:rPr>
              <w:t>本报告建议：项目运营期应制定完善的环境管理制度。按照管理制度进行项</w:t>
            </w:r>
            <w:r>
              <w:rPr>
                <w:sz w:val="24"/>
                <w:highlight w:val="none"/>
              </w:rPr>
              <w:t>目运营的环境保护日常管理工作。</w:t>
            </w:r>
          </w:p>
        </w:tc>
      </w:tr>
    </w:tbl>
    <w:p w14:paraId="36311AEC">
      <w:pPr>
        <w:spacing w:after="0" w:line="374" w:lineRule="auto"/>
        <w:rPr>
          <w:sz w:val="24"/>
          <w:highlight w:val="none"/>
        </w:rPr>
        <w:sectPr>
          <w:pgSz w:w="11910" w:h="16840"/>
          <w:pgMar w:top="1460" w:right="1440" w:bottom="1340" w:left="1580" w:header="0" w:footer="1160" w:gutter="0"/>
          <w:cols w:space="720" w:num="1"/>
        </w:sectPr>
      </w:pPr>
    </w:p>
    <w:p w14:paraId="2A15B1DB">
      <w:pPr>
        <w:pStyle w:val="2"/>
        <w:tabs>
          <w:tab w:val="left" w:pos="959"/>
        </w:tabs>
        <w:spacing w:before="147" w:after="4"/>
        <w:rPr>
          <w:highlight w:val="none"/>
        </w:rPr>
      </w:pPr>
      <w:r>
        <w:rPr>
          <w:highlight w:val="none"/>
        </w:rPr>
        <w:t>表</w:t>
      </w:r>
      <w:r>
        <w:rPr>
          <w:rFonts w:ascii="Times New Roman" w:eastAsia="Times New Roman"/>
          <w:highlight w:val="none"/>
        </w:rPr>
        <w:t>10</w:t>
      </w:r>
      <w:r>
        <w:rPr>
          <w:rFonts w:ascii="Times New Roman" w:eastAsia="Times New Roman"/>
          <w:highlight w:val="none"/>
        </w:rPr>
        <w:tab/>
      </w:r>
      <w:r>
        <w:rPr>
          <w:highlight w:val="none"/>
        </w:rPr>
        <w:t>调查结论与建议</w:t>
      </w:r>
    </w:p>
    <w:tbl>
      <w:tblPr>
        <w:tblStyle w:val="10"/>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21"/>
      </w:tblGrid>
      <w:tr w14:paraId="34B61F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26" w:hRule="atLeast"/>
        </w:trPr>
        <w:tc>
          <w:tcPr>
            <w:tcW w:w="8521" w:type="dxa"/>
          </w:tcPr>
          <w:p w14:paraId="3E332A7B">
            <w:pPr>
              <w:pStyle w:val="22"/>
              <w:spacing w:before="35"/>
              <w:ind w:left="215"/>
              <w:rPr>
                <w:b/>
                <w:sz w:val="24"/>
                <w:highlight w:val="none"/>
              </w:rPr>
            </w:pPr>
            <w:r>
              <w:rPr>
                <w:b/>
                <w:sz w:val="24"/>
                <w:highlight w:val="none"/>
              </w:rPr>
              <w:t>调查结论及建议：</w:t>
            </w:r>
          </w:p>
          <w:p w14:paraId="3429A27C">
            <w:pPr>
              <w:pStyle w:val="22"/>
              <w:spacing w:before="148" w:line="374" w:lineRule="auto"/>
              <w:ind w:left="107" w:right="87" w:firstLine="480"/>
              <w:rPr>
                <w:sz w:val="24"/>
                <w:highlight w:val="none"/>
              </w:rPr>
            </w:pPr>
            <w:r>
              <w:rPr>
                <w:sz w:val="24"/>
                <w:highlight w:val="none"/>
              </w:rPr>
              <w:t>通过调查</w:t>
            </w:r>
            <w:r>
              <w:rPr>
                <w:rFonts w:hint="eastAsia"/>
                <w:sz w:val="24"/>
                <w:highlight w:val="none"/>
                <w:lang w:eastAsia="zh-CN"/>
              </w:rPr>
              <w:t>台山鑫昊150MW渔光互补光伏发电项目</w:t>
            </w:r>
            <w:r>
              <w:rPr>
                <w:sz w:val="24"/>
                <w:highlight w:val="none"/>
              </w:rPr>
              <w:t>周围环境状况、工</w:t>
            </w:r>
            <w:r>
              <w:rPr>
                <w:spacing w:val="-7"/>
                <w:sz w:val="24"/>
                <w:highlight w:val="none"/>
              </w:rPr>
              <w:t>程环保措施执行情况，分析工程有关技术文件、资料，分析与评估检测结果，从</w:t>
            </w:r>
            <w:r>
              <w:rPr>
                <w:sz w:val="24"/>
                <w:highlight w:val="none"/>
              </w:rPr>
              <w:t>环境保护角度对工程提出如下调查结论和建议：</w:t>
            </w:r>
          </w:p>
          <w:p w14:paraId="3F79BF39">
            <w:pPr>
              <w:pStyle w:val="22"/>
              <w:spacing w:before="1"/>
              <w:ind w:left="587"/>
              <w:rPr>
                <w:b/>
                <w:sz w:val="24"/>
                <w:highlight w:val="none"/>
              </w:rPr>
            </w:pPr>
            <w:r>
              <w:rPr>
                <w:b/>
                <w:sz w:val="24"/>
                <w:highlight w:val="none"/>
              </w:rPr>
              <w:t>结论：</w:t>
            </w:r>
          </w:p>
          <w:p w14:paraId="17D9FCAE">
            <w:pPr>
              <w:pStyle w:val="22"/>
              <w:spacing w:before="173"/>
              <w:ind w:left="587"/>
              <w:rPr>
                <w:sz w:val="24"/>
                <w:highlight w:val="none"/>
              </w:rPr>
            </w:pPr>
            <w:r>
              <w:rPr>
                <w:rFonts w:ascii="Times New Roman" w:eastAsia="Times New Roman"/>
                <w:sz w:val="24"/>
                <w:highlight w:val="none"/>
              </w:rPr>
              <w:t>1</w:t>
            </w:r>
            <w:r>
              <w:rPr>
                <w:sz w:val="24"/>
                <w:highlight w:val="none"/>
              </w:rPr>
              <w:t>、验收工程概况</w:t>
            </w:r>
          </w:p>
          <w:p w14:paraId="3C80B3CD">
            <w:pPr>
              <w:pStyle w:val="22"/>
              <w:spacing w:before="172" w:line="374" w:lineRule="auto"/>
              <w:ind w:left="107" w:right="87" w:firstLine="480"/>
              <w:jc w:val="both"/>
              <w:rPr>
                <w:sz w:val="24"/>
                <w:highlight w:val="none"/>
              </w:rPr>
            </w:pPr>
            <w:r>
              <w:rPr>
                <w:sz w:val="24"/>
                <w:highlight w:val="none"/>
              </w:rPr>
              <w:t>项目位于</w:t>
            </w:r>
            <w:r>
              <w:rPr>
                <w:rFonts w:hAnsi="宋体"/>
                <w:kern w:val="0"/>
                <w:sz w:val="24"/>
                <w:szCs w:val="24"/>
                <w:highlight w:val="none"/>
              </w:rPr>
              <w:t>广东省</w:t>
            </w:r>
            <w:r>
              <w:rPr>
                <w:rFonts w:hint="eastAsia" w:hAnsi="宋体"/>
                <w:kern w:val="0"/>
                <w:sz w:val="24"/>
                <w:szCs w:val="24"/>
                <w:highlight w:val="none"/>
              </w:rPr>
              <w:t>江门市</w:t>
            </w:r>
            <w:r>
              <w:rPr>
                <w:rFonts w:hAnsi="宋体"/>
                <w:kern w:val="0"/>
                <w:sz w:val="24"/>
                <w:szCs w:val="24"/>
                <w:highlight w:val="none"/>
              </w:rPr>
              <w:t>台山市汶村镇</w:t>
            </w:r>
            <w:r>
              <w:rPr>
                <w:sz w:val="24"/>
                <w:highlight w:val="none"/>
              </w:rPr>
              <w:t>，建设</w:t>
            </w:r>
            <w:r>
              <w:rPr>
                <w:rFonts w:hint="eastAsia" w:ascii="Times New Roman"/>
                <w:sz w:val="24"/>
                <w:highlight w:val="none"/>
                <w:lang w:val="en-US" w:eastAsia="zh-CN"/>
              </w:rPr>
              <w:t>120</w:t>
            </w:r>
            <w:r>
              <w:rPr>
                <w:rFonts w:ascii="Times New Roman" w:eastAsia="Times New Roman"/>
                <w:sz w:val="24"/>
                <w:highlight w:val="none"/>
              </w:rPr>
              <w:t>MWp</w:t>
            </w:r>
            <w:r>
              <w:rPr>
                <w:sz w:val="24"/>
                <w:highlight w:val="none"/>
              </w:rPr>
              <w:t>光伏发电场区</w:t>
            </w:r>
            <w:r>
              <w:rPr>
                <w:rFonts w:ascii="Times New Roman" w:eastAsia="Times New Roman"/>
                <w:sz w:val="24"/>
                <w:highlight w:val="none"/>
              </w:rPr>
              <w:t>(</w:t>
            </w:r>
            <w:r>
              <w:rPr>
                <w:spacing w:val="-5"/>
                <w:sz w:val="24"/>
                <w:highlight w:val="none"/>
              </w:rPr>
              <w:t>含光伏发电</w:t>
            </w:r>
            <w:r>
              <w:rPr>
                <w:rFonts w:hint="eastAsia"/>
                <w:spacing w:val="-5"/>
                <w:sz w:val="24"/>
                <w:highlight w:val="none"/>
                <w:lang w:val="en-US" w:eastAsia="zh-CN"/>
              </w:rPr>
              <w:t>组件</w:t>
            </w:r>
            <w:r>
              <w:rPr>
                <w:spacing w:val="-5"/>
                <w:sz w:val="24"/>
                <w:highlight w:val="none"/>
              </w:rPr>
              <w:t>、</w:t>
            </w:r>
            <w:r>
              <w:rPr>
                <w:rFonts w:hint="eastAsia"/>
                <w:spacing w:val="-5"/>
                <w:sz w:val="24"/>
                <w:highlight w:val="none"/>
                <w:lang w:val="en-US" w:eastAsia="zh-CN"/>
              </w:rPr>
              <w:t>箱</w:t>
            </w:r>
            <w:r>
              <w:rPr>
                <w:spacing w:val="-5"/>
                <w:sz w:val="24"/>
                <w:highlight w:val="none"/>
              </w:rPr>
              <w:t>逆变、</w:t>
            </w:r>
            <w:r>
              <w:rPr>
                <w:rFonts w:hint="eastAsia"/>
                <w:spacing w:val="-5"/>
                <w:sz w:val="24"/>
                <w:highlight w:val="none"/>
              </w:rPr>
              <w:t>直流汇流箱</w:t>
            </w:r>
            <w:r>
              <w:rPr>
                <w:spacing w:val="-5"/>
                <w:sz w:val="24"/>
                <w:highlight w:val="none"/>
              </w:rPr>
              <w:t>等</w:t>
            </w:r>
            <w:r>
              <w:rPr>
                <w:rFonts w:ascii="Times New Roman" w:eastAsia="Times New Roman"/>
                <w:sz w:val="24"/>
                <w:highlight w:val="none"/>
              </w:rPr>
              <w:t>)</w:t>
            </w:r>
            <w:r>
              <w:rPr>
                <w:spacing w:val="-7"/>
                <w:sz w:val="24"/>
                <w:highlight w:val="none"/>
              </w:rPr>
              <w:t>，</w:t>
            </w:r>
            <w:r>
              <w:rPr>
                <w:rFonts w:hint="eastAsia"/>
                <w:spacing w:val="-7"/>
                <w:sz w:val="24"/>
                <w:highlight w:val="none"/>
                <w:lang w:val="en-US" w:eastAsia="zh-CN"/>
              </w:rPr>
              <w:t>无</w:t>
            </w:r>
            <w:r>
              <w:rPr>
                <w:sz w:val="24"/>
                <w:highlight w:val="none"/>
              </w:rPr>
              <w:t>办公场所等辅助设施。项目成后，</w:t>
            </w:r>
            <w:r>
              <w:rPr>
                <w:rFonts w:ascii="Times New Roman" w:eastAsia="Times New Roman"/>
                <w:sz w:val="24"/>
                <w:highlight w:val="none"/>
              </w:rPr>
              <w:t>25</w:t>
            </w:r>
            <w:r>
              <w:rPr>
                <w:sz w:val="24"/>
                <w:highlight w:val="none"/>
              </w:rPr>
              <w:t>年年均发电量</w:t>
            </w:r>
            <w:r>
              <w:rPr>
                <w:rFonts w:hint="eastAsia" w:ascii="Times New Roman" w:eastAsia="宋体"/>
                <w:sz w:val="24"/>
                <w:highlight w:val="none"/>
                <w:lang w:val="en-US" w:eastAsia="zh-CN"/>
              </w:rPr>
              <w:t>138881.26</w:t>
            </w:r>
            <w:r>
              <w:rPr>
                <w:sz w:val="24"/>
                <w:highlight w:val="none"/>
              </w:rPr>
              <w:t>万</w:t>
            </w:r>
            <w:r>
              <w:rPr>
                <w:rFonts w:ascii="Times New Roman" w:eastAsia="Times New Roman"/>
                <w:sz w:val="24"/>
                <w:highlight w:val="none"/>
              </w:rPr>
              <w:t>kWh</w:t>
            </w:r>
            <w:r>
              <w:rPr>
                <w:sz w:val="24"/>
                <w:highlight w:val="none"/>
              </w:rPr>
              <w:t>。</w:t>
            </w:r>
          </w:p>
          <w:p w14:paraId="2CE62485">
            <w:pPr>
              <w:pStyle w:val="22"/>
              <w:spacing w:before="1" w:line="374" w:lineRule="auto"/>
              <w:ind w:left="107" w:right="-15" w:firstLine="480"/>
              <w:jc w:val="both"/>
              <w:rPr>
                <w:sz w:val="24"/>
                <w:highlight w:val="none"/>
              </w:rPr>
            </w:pPr>
            <w:r>
              <w:rPr>
                <w:sz w:val="24"/>
                <w:highlight w:val="none"/>
              </w:rPr>
              <w:t>经现场调查，该项目在施工和运营期间严格执行了环境保护</w:t>
            </w:r>
            <w:r>
              <w:rPr>
                <w:rFonts w:ascii="Times New Roman" w:hAnsi="Times New Roman" w:eastAsia="Times New Roman"/>
                <w:sz w:val="24"/>
                <w:highlight w:val="none"/>
              </w:rPr>
              <w:t>“</w:t>
            </w:r>
            <w:r>
              <w:rPr>
                <w:sz w:val="24"/>
                <w:highlight w:val="none"/>
              </w:rPr>
              <w:t>三同时</w:t>
            </w:r>
            <w:r>
              <w:rPr>
                <w:rFonts w:ascii="Times New Roman" w:hAnsi="Times New Roman" w:eastAsia="Times New Roman"/>
                <w:sz w:val="24"/>
                <w:highlight w:val="none"/>
              </w:rPr>
              <w:t>”</w:t>
            </w:r>
            <w:r>
              <w:rPr>
                <w:sz w:val="24"/>
                <w:highlight w:val="none"/>
              </w:rPr>
              <w:t xml:space="preserve">制度， </w:t>
            </w:r>
            <w:r>
              <w:rPr>
                <w:spacing w:val="-4"/>
                <w:sz w:val="24"/>
                <w:highlight w:val="none"/>
              </w:rPr>
              <w:t>并且较好地落实了该工程环评报告表和各级环保主管部门的审批要求，施工期间</w:t>
            </w:r>
            <w:r>
              <w:rPr>
                <w:spacing w:val="-12"/>
                <w:sz w:val="24"/>
                <w:highlight w:val="none"/>
              </w:rPr>
              <w:t>对工程产生的废气、废水、噪声及固体废物采取了相应的处理及处置措施，未对</w:t>
            </w:r>
            <w:r>
              <w:rPr>
                <w:spacing w:val="-15"/>
                <w:sz w:val="24"/>
                <w:highlight w:val="none"/>
              </w:rPr>
              <w:t>周围环境造成明显不利影响。营运期间对产生的废气、废水、噪声及固体废物也均按照该工程环境影响报告表的审批意见要求进行了落实。本项目施工完成后，</w:t>
            </w:r>
            <w:r>
              <w:rPr>
                <w:sz w:val="24"/>
                <w:highlight w:val="none"/>
              </w:rPr>
              <w:t>对光伏区、集电线路区、道路区等均进行了覆土、平整、播撒草种等措施。</w:t>
            </w:r>
          </w:p>
          <w:p w14:paraId="63723AD6">
            <w:pPr>
              <w:pStyle w:val="22"/>
              <w:spacing w:before="2" w:line="374" w:lineRule="auto"/>
              <w:ind w:left="107" w:right="-15" w:firstLine="480"/>
              <w:rPr>
                <w:sz w:val="24"/>
                <w:highlight w:val="none"/>
              </w:rPr>
            </w:pPr>
            <w:r>
              <w:rPr>
                <w:spacing w:val="-1"/>
                <w:sz w:val="24"/>
                <w:highlight w:val="none"/>
              </w:rPr>
              <w:t xml:space="preserve">调试阶段光伏区、输电线路区、开关站周边已完成土地平整、绿化等工作， </w:t>
            </w:r>
            <w:r>
              <w:rPr>
                <w:spacing w:val="-7"/>
                <w:sz w:val="24"/>
                <w:highlight w:val="none"/>
              </w:rPr>
              <w:t>降低对生态环境的影响。公司仍需要完善植被恢复措施，保障实施后可满足竣工环境保护验收要求。</w:t>
            </w:r>
          </w:p>
          <w:p w14:paraId="2770B303">
            <w:pPr>
              <w:pStyle w:val="22"/>
              <w:spacing w:before="1"/>
              <w:ind w:left="587"/>
              <w:rPr>
                <w:b/>
                <w:sz w:val="24"/>
                <w:highlight w:val="none"/>
              </w:rPr>
            </w:pPr>
            <w:r>
              <w:rPr>
                <w:b/>
                <w:sz w:val="24"/>
                <w:highlight w:val="none"/>
              </w:rPr>
              <w:t>建议</w:t>
            </w:r>
          </w:p>
          <w:p w14:paraId="6E638F51">
            <w:pPr>
              <w:pStyle w:val="22"/>
              <w:spacing w:before="173" w:line="374" w:lineRule="auto"/>
              <w:ind w:left="107" w:right="111" w:firstLine="480"/>
              <w:rPr>
                <w:sz w:val="24"/>
                <w:highlight w:val="none"/>
              </w:rPr>
            </w:pPr>
            <w:r>
              <w:rPr>
                <w:rFonts w:ascii="Times New Roman" w:eastAsia="Times New Roman"/>
                <w:sz w:val="24"/>
                <w:highlight w:val="none"/>
              </w:rPr>
              <w:t>1</w:t>
            </w:r>
            <w:r>
              <w:rPr>
                <w:sz w:val="24"/>
                <w:highlight w:val="none"/>
              </w:rPr>
              <w:t>、进一步完善环境保护管理制度及操作规程，加强污染防治设施的运行管理和维护，确保设施正常运行，污染物稳定达标排放。</w:t>
            </w:r>
          </w:p>
          <w:p w14:paraId="61A8D918">
            <w:pPr>
              <w:pStyle w:val="22"/>
              <w:ind w:left="587"/>
              <w:rPr>
                <w:sz w:val="24"/>
                <w:highlight w:val="none"/>
              </w:rPr>
            </w:pPr>
            <w:r>
              <w:rPr>
                <w:rFonts w:ascii="Times New Roman" w:eastAsia="Times New Roman"/>
                <w:sz w:val="24"/>
                <w:highlight w:val="none"/>
              </w:rPr>
              <w:t>2</w:t>
            </w:r>
            <w:r>
              <w:rPr>
                <w:sz w:val="24"/>
                <w:highlight w:val="none"/>
              </w:rPr>
              <w:t>、加强企业环境保护监督管理，树立良好的企业环境保护形象。</w:t>
            </w:r>
          </w:p>
          <w:p w14:paraId="5C378D43">
            <w:pPr>
              <w:pStyle w:val="22"/>
              <w:spacing w:before="173"/>
              <w:ind w:left="587"/>
              <w:rPr>
                <w:sz w:val="24"/>
                <w:highlight w:val="none"/>
              </w:rPr>
            </w:pPr>
            <w:r>
              <w:rPr>
                <w:rFonts w:ascii="Times New Roman" w:eastAsia="Times New Roman"/>
                <w:sz w:val="24"/>
                <w:highlight w:val="none"/>
              </w:rPr>
              <w:t>3</w:t>
            </w:r>
            <w:r>
              <w:rPr>
                <w:sz w:val="24"/>
                <w:highlight w:val="none"/>
              </w:rPr>
              <w:t>、加强对恢复草地的日常管理和维护。</w:t>
            </w:r>
          </w:p>
          <w:p w14:paraId="0E7DFF24">
            <w:pPr>
              <w:pStyle w:val="22"/>
              <w:spacing w:line="480" w:lineRule="atLeast"/>
              <w:ind w:left="107" w:right="87" w:firstLine="480"/>
              <w:jc w:val="both"/>
              <w:rPr>
                <w:sz w:val="24"/>
                <w:highlight w:val="none"/>
              </w:rPr>
            </w:pPr>
            <w:r>
              <w:rPr>
                <w:rFonts w:ascii="Times New Roman" w:eastAsia="Times New Roman"/>
                <w:sz w:val="24"/>
                <w:highlight w:val="none"/>
              </w:rPr>
              <w:t>4</w:t>
            </w:r>
            <w:r>
              <w:rPr>
                <w:sz w:val="24"/>
                <w:highlight w:val="none"/>
              </w:rPr>
              <w:t>、加强危险废物管理，建立危险废物污染源档案，包括运营台账、处置协</w:t>
            </w:r>
            <w:r>
              <w:rPr>
                <w:spacing w:val="-9"/>
                <w:sz w:val="24"/>
                <w:highlight w:val="none"/>
              </w:rPr>
              <w:t>议及危废转移联单；及时清理检维修后的事故油池，降低事故废油产生的环境风</w:t>
            </w:r>
            <w:r>
              <w:rPr>
                <w:sz w:val="24"/>
                <w:highlight w:val="none"/>
              </w:rPr>
              <w:t>险。</w:t>
            </w:r>
          </w:p>
        </w:tc>
      </w:tr>
    </w:tbl>
    <w:p w14:paraId="29D3B010">
      <w:pPr>
        <w:spacing w:after="0" w:line="480" w:lineRule="atLeast"/>
        <w:jc w:val="both"/>
        <w:rPr>
          <w:sz w:val="24"/>
          <w:highlight w:val="none"/>
        </w:rPr>
        <w:sectPr>
          <w:pgSz w:w="11910" w:h="16840"/>
          <w:pgMar w:top="1580" w:right="1440" w:bottom="1420" w:left="1580" w:header="0" w:footer="1160" w:gutter="0"/>
          <w:cols w:space="720" w:num="1"/>
        </w:sectPr>
      </w:pPr>
    </w:p>
    <w:p w14:paraId="3B89C903">
      <w:pPr>
        <w:pStyle w:val="5"/>
        <w:spacing w:before="7"/>
        <w:rPr>
          <w:rFonts w:hint="eastAsia" w:ascii="黑体"/>
          <w:sz w:val="24"/>
          <w:szCs w:val="24"/>
          <w:highlight w:val="none"/>
        </w:rPr>
      </w:pPr>
      <w:r>
        <w:rPr>
          <w:rFonts w:hint="eastAsia" w:ascii="黑体"/>
          <w:sz w:val="24"/>
          <w:szCs w:val="24"/>
          <w:highlight w:val="none"/>
        </w:rPr>
        <w:t>附件1 环境影响报告表审批意见</w:t>
      </w:r>
    </w:p>
    <w:p w14:paraId="17407CA4">
      <w:pPr>
        <w:pStyle w:val="5"/>
        <w:spacing w:before="7"/>
        <w:rPr>
          <w:highlight w:val="none"/>
        </w:rPr>
      </w:pPr>
      <w:r>
        <w:rPr>
          <w:highlight w:val="none"/>
        </w:rPr>
        <w:drawing>
          <wp:inline distT="0" distB="0" distL="114300" distR="114300">
            <wp:extent cx="5427345" cy="7141845"/>
            <wp:effectExtent l="0" t="0" r="1905" b="1905"/>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18"/>
                    <a:stretch>
                      <a:fillRect/>
                    </a:stretch>
                  </pic:blipFill>
                  <pic:spPr>
                    <a:xfrm>
                      <a:off x="0" y="0"/>
                      <a:ext cx="5427345" cy="7141845"/>
                    </a:xfrm>
                    <a:prstGeom prst="rect">
                      <a:avLst/>
                    </a:prstGeom>
                    <a:noFill/>
                    <a:ln>
                      <a:noFill/>
                    </a:ln>
                  </pic:spPr>
                </pic:pic>
              </a:graphicData>
            </a:graphic>
          </wp:inline>
        </w:drawing>
      </w:r>
    </w:p>
    <w:p w14:paraId="5BC5C2BF">
      <w:pPr>
        <w:pStyle w:val="5"/>
        <w:spacing w:before="7"/>
        <w:rPr>
          <w:highlight w:val="none"/>
        </w:rPr>
        <w:sectPr>
          <w:footerReference r:id="rId7" w:type="default"/>
          <w:pgSz w:w="11910" w:h="16840"/>
          <w:pgMar w:top="1580" w:right="1680" w:bottom="280" w:left="1680" w:header="0" w:footer="0" w:gutter="0"/>
          <w:cols w:space="720" w:num="1"/>
        </w:sectPr>
      </w:pPr>
      <w:r>
        <w:rPr>
          <w:highlight w:val="none"/>
        </w:rPr>
        <w:drawing>
          <wp:inline distT="0" distB="0" distL="114300" distR="114300">
            <wp:extent cx="5429250" cy="7338695"/>
            <wp:effectExtent l="0" t="0" r="0" b="1460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19"/>
                    <a:stretch>
                      <a:fillRect/>
                    </a:stretch>
                  </pic:blipFill>
                  <pic:spPr>
                    <a:xfrm>
                      <a:off x="0" y="0"/>
                      <a:ext cx="5429250" cy="7338695"/>
                    </a:xfrm>
                    <a:prstGeom prst="rect">
                      <a:avLst/>
                    </a:prstGeom>
                    <a:noFill/>
                    <a:ln>
                      <a:noFill/>
                    </a:ln>
                  </pic:spPr>
                </pic:pic>
              </a:graphicData>
            </a:graphic>
          </wp:inline>
        </w:drawing>
      </w:r>
      <w:r>
        <w:rPr>
          <w:highlight w:val="none"/>
        </w:rPr>
        <w:drawing>
          <wp:inline distT="0" distB="0" distL="114300" distR="114300">
            <wp:extent cx="5429250" cy="7610475"/>
            <wp:effectExtent l="0" t="0" r="0" b="9525"/>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20"/>
                    <a:stretch>
                      <a:fillRect/>
                    </a:stretch>
                  </pic:blipFill>
                  <pic:spPr>
                    <a:xfrm>
                      <a:off x="0" y="0"/>
                      <a:ext cx="5429250" cy="7610475"/>
                    </a:xfrm>
                    <a:prstGeom prst="rect">
                      <a:avLst/>
                    </a:prstGeom>
                    <a:noFill/>
                    <a:ln>
                      <a:noFill/>
                    </a:ln>
                  </pic:spPr>
                </pic:pic>
              </a:graphicData>
            </a:graphic>
          </wp:inline>
        </w:drawing>
      </w:r>
      <w:r>
        <w:rPr>
          <w:highlight w:val="none"/>
        </w:rPr>
        <w:drawing>
          <wp:inline distT="0" distB="0" distL="114300" distR="114300">
            <wp:extent cx="5410200" cy="7648575"/>
            <wp:effectExtent l="0" t="0" r="0" b="9525"/>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21"/>
                    <a:stretch>
                      <a:fillRect/>
                    </a:stretch>
                  </pic:blipFill>
                  <pic:spPr>
                    <a:xfrm>
                      <a:off x="0" y="0"/>
                      <a:ext cx="5410200" cy="7648575"/>
                    </a:xfrm>
                    <a:prstGeom prst="rect">
                      <a:avLst/>
                    </a:prstGeom>
                    <a:noFill/>
                    <a:ln>
                      <a:noFill/>
                    </a:ln>
                  </pic:spPr>
                </pic:pic>
              </a:graphicData>
            </a:graphic>
          </wp:inline>
        </w:drawing>
      </w:r>
    </w:p>
    <w:p w14:paraId="3D00AF5A">
      <w:pPr>
        <w:pStyle w:val="5"/>
        <w:spacing w:before="7"/>
        <w:rPr>
          <w:rFonts w:hint="default" w:ascii="黑体" w:eastAsia="宋体"/>
          <w:sz w:val="24"/>
          <w:szCs w:val="24"/>
          <w:highlight w:val="none"/>
          <w:lang w:val="en-US" w:eastAsia="zh-CN"/>
        </w:rPr>
      </w:pPr>
      <w:r>
        <w:rPr>
          <w:rFonts w:hint="eastAsia" w:ascii="黑体"/>
          <w:sz w:val="24"/>
          <w:szCs w:val="24"/>
          <w:highlight w:val="none"/>
        </w:rPr>
        <w:t>附件</w:t>
      </w:r>
      <w:r>
        <w:rPr>
          <w:rFonts w:hint="eastAsia" w:ascii="黑体"/>
          <w:sz w:val="24"/>
          <w:szCs w:val="24"/>
          <w:highlight w:val="none"/>
          <w:lang w:val="en-US" w:eastAsia="zh-CN"/>
        </w:rPr>
        <w:t>3监测报告</w:t>
      </w:r>
    </w:p>
    <w:p w14:paraId="100B3261">
      <w:pPr>
        <w:pStyle w:val="5"/>
        <w:spacing w:before="7"/>
        <w:rPr>
          <w:highlight w:val="none"/>
        </w:rPr>
      </w:pPr>
      <w:r>
        <w:rPr>
          <w:highlight w:val="none"/>
        </w:rPr>
        <w:drawing>
          <wp:inline distT="0" distB="0" distL="114300" distR="114300">
            <wp:extent cx="5425440" cy="7477125"/>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425440" cy="7477125"/>
                    </a:xfrm>
                    <a:prstGeom prst="rect">
                      <a:avLst/>
                    </a:prstGeom>
                    <a:noFill/>
                    <a:ln>
                      <a:noFill/>
                    </a:ln>
                  </pic:spPr>
                </pic:pic>
              </a:graphicData>
            </a:graphic>
          </wp:inline>
        </w:drawing>
      </w:r>
    </w:p>
    <w:p w14:paraId="2CCBA9EC">
      <w:pPr>
        <w:rPr>
          <w:rFonts w:hint="eastAsia"/>
          <w:highlight w:val="none"/>
        </w:rPr>
      </w:pPr>
      <w:r>
        <w:rPr>
          <w:highlight w:val="none"/>
        </w:rPr>
        <w:drawing>
          <wp:inline distT="0" distB="0" distL="114300" distR="114300">
            <wp:extent cx="5427980" cy="7544435"/>
            <wp:effectExtent l="0" t="0" r="127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5427980" cy="7544435"/>
                    </a:xfrm>
                    <a:prstGeom prst="rect">
                      <a:avLst/>
                    </a:prstGeom>
                    <a:noFill/>
                    <a:ln>
                      <a:noFill/>
                    </a:ln>
                  </pic:spPr>
                </pic:pic>
              </a:graphicData>
            </a:graphic>
          </wp:inline>
        </w:drawing>
      </w:r>
      <w:r>
        <w:rPr>
          <w:highlight w:val="none"/>
        </w:rPr>
        <w:drawing>
          <wp:inline distT="0" distB="0" distL="114300" distR="114300">
            <wp:extent cx="5427345" cy="7443470"/>
            <wp:effectExtent l="0" t="0" r="190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4"/>
                    <a:stretch>
                      <a:fillRect/>
                    </a:stretch>
                  </pic:blipFill>
                  <pic:spPr>
                    <a:xfrm>
                      <a:off x="0" y="0"/>
                      <a:ext cx="5427345" cy="7443470"/>
                    </a:xfrm>
                    <a:prstGeom prst="rect">
                      <a:avLst/>
                    </a:prstGeom>
                    <a:noFill/>
                    <a:ln>
                      <a:noFill/>
                    </a:ln>
                  </pic:spPr>
                </pic:pic>
              </a:graphicData>
            </a:graphic>
          </wp:inline>
        </w:drawing>
      </w:r>
      <w:r>
        <w:rPr>
          <w:highlight w:val="none"/>
        </w:rPr>
        <w:drawing>
          <wp:inline distT="0" distB="0" distL="114300" distR="114300">
            <wp:extent cx="5427345" cy="7249795"/>
            <wp:effectExtent l="0" t="0" r="1905"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5"/>
                    <a:stretch>
                      <a:fillRect/>
                    </a:stretch>
                  </pic:blipFill>
                  <pic:spPr>
                    <a:xfrm>
                      <a:off x="0" y="0"/>
                      <a:ext cx="5427345" cy="7249795"/>
                    </a:xfrm>
                    <a:prstGeom prst="rect">
                      <a:avLst/>
                    </a:prstGeom>
                    <a:noFill/>
                    <a:ln>
                      <a:noFill/>
                    </a:ln>
                  </pic:spPr>
                </pic:pic>
              </a:graphicData>
            </a:graphic>
          </wp:inline>
        </w:drawing>
      </w:r>
      <w:r>
        <w:rPr>
          <w:highlight w:val="none"/>
        </w:rPr>
        <w:drawing>
          <wp:inline distT="0" distB="0" distL="114300" distR="114300">
            <wp:extent cx="5424805" cy="7392670"/>
            <wp:effectExtent l="0" t="0" r="4445" b="177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6"/>
                    <a:stretch>
                      <a:fillRect/>
                    </a:stretch>
                  </pic:blipFill>
                  <pic:spPr>
                    <a:xfrm>
                      <a:off x="0" y="0"/>
                      <a:ext cx="5424805" cy="7392670"/>
                    </a:xfrm>
                    <a:prstGeom prst="rect">
                      <a:avLst/>
                    </a:prstGeom>
                    <a:noFill/>
                    <a:ln>
                      <a:noFill/>
                    </a:ln>
                  </pic:spPr>
                </pic:pic>
              </a:graphicData>
            </a:graphic>
          </wp:inline>
        </w:drawing>
      </w:r>
      <w:r>
        <w:rPr>
          <w:highlight w:val="none"/>
        </w:rPr>
        <w:drawing>
          <wp:inline distT="0" distB="0" distL="114300" distR="114300">
            <wp:extent cx="5428615" cy="7400925"/>
            <wp:effectExtent l="0" t="0" r="635" b="952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7"/>
                    <a:stretch>
                      <a:fillRect/>
                    </a:stretch>
                  </pic:blipFill>
                  <pic:spPr>
                    <a:xfrm>
                      <a:off x="0" y="0"/>
                      <a:ext cx="5428615" cy="7400925"/>
                    </a:xfrm>
                    <a:prstGeom prst="rect">
                      <a:avLst/>
                    </a:prstGeom>
                    <a:noFill/>
                    <a:ln>
                      <a:noFill/>
                    </a:ln>
                  </pic:spPr>
                </pic:pic>
              </a:graphicData>
            </a:graphic>
          </wp:inline>
        </w:drawing>
      </w:r>
      <w:r>
        <w:rPr>
          <w:highlight w:val="none"/>
        </w:rPr>
        <w:drawing>
          <wp:inline distT="0" distB="0" distL="114300" distR="114300">
            <wp:extent cx="5428615" cy="7595235"/>
            <wp:effectExtent l="0" t="0" r="635" b="571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8"/>
                    <a:stretch>
                      <a:fillRect/>
                    </a:stretch>
                  </pic:blipFill>
                  <pic:spPr>
                    <a:xfrm>
                      <a:off x="0" y="0"/>
                      <a:ext cx="5428615" cy="7595235"/>
                    </a:xfrm>
                    <a:prstGeom prst="rect">
                      <a:avLst/>
                    </a:prstGeom>
                    <a:noFill/>
                    <a:ln>
                      <a:noFill/>
                    </a:ln>
                  </pic:spPr>
                </pic:pic>
              </a:graphicData>
            </a:graphic>
          </wp:inline>
        </w:drawing>
      </w:r>
    </w:p>
    <w:sectPr>
      <w:pgSz w:w="11910" w:h="16840"/>
      <w:pgMar w:top="1580" w:right="1680" w:bottom="280" w:left="168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0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DFA21">
    <w:pPr>
      <w:pStyle w:val="5"/>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3712210</wp:posOffset>
              </wp:positionH>
              <wp:positionV relativeFrom="page">
                <wp:posOffset>9625965</wp:posOffset>
              </wp:positionV>
              <wp:extent cx="133350" cy="139700"/>
              <wp:effectExtent l="0" t="0" r="0" b="0"/>
              <wp:wrapNone/>
              <wp:docPr id="55" name="文本框 1"/>
              <wp:cNvGraphicFramePr/>
              <a:graphic xmlns:a="http://schemas.openxmlformats.org/drawingml/2006/main">
                <a:graphicData uri="http://schemas.microsoft.com/office/word/2010/wordprocessingShape">
                  <wps:wsp>
                    <wps:cNvSpPr txBox="1"/>
                    <wps:spPr>
                      <a:xfrm>
                        <a:off x="0" y="0"/>
                        <a:ext cx="133350" cy="139700"/>
                      </a:xfrm>
                      <a:prstGeom prst="rect">
                        <a:avLst/>
                      </a:prstGeom>
                      <a:noFill/>
                      <a:ln>
                        <a:noFill/>
                      </a:ln>
                    </wps:spPr>
                    <wps:txbx>
                      <w:txbxContent>
                        <w:p w14:paraId="4CA0BDCE">
                          <w:pPr>
                            <w:spacing w:before="0" w:line="220" w:lineRule="exact"/>
                            <w:ind w:left="60" w:right="0" w:firstLine="0"/>
                            <w:jc w:val="left"/>
                            <w:rPr>
                              <w:sz w:val="18"/>
                            </w:rPr>
                          </w:pPr>
                          <w:r>
                            <w:fldChar w:fldCharType="begin"/>
                          </w:r>
                          <w:r>
                            <w:rPr>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2.3pt;margin-top:757.95pt;height:11pt;width:10.5pt;mso-position-horizontal-relative:page;mso-position-vertical-relative:page;z-index:-251657216;mso-width-relative:page;mso-height-relative:page;" filled="f" stroked="f" coordsize="21600,21600" o:gfxdata="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JErLLaAAAADQEAAA8AAAAAAAAAAQAgAAAAIgAAAGRycy9kb3ducmV2LnhtbFBL&#10;AQIUABQAAAAIAIdO4kAkhP2FuwEAAHIDAAAOAAAAAAAAAAEAIAAAACkBAABkcnMvZTJvRG9jLnht&#10;bFBLBQYAAAAABgAGAFkBAABWBQAAAAA=&#10;">
              <v:fill on="f" focussize="0,0"/>
              <v:stroke on="f"/>
              <v:imagedata o:title=""/>
              <o:lock v:ext="edit" aspectratio="f"/>
              <v:textbox inset="0mm,0mm,0mm,0mm">
                <w:txbxContent>
                  <w:p w14:paraId="4CA0BDCE">
                    <w:pPr>
                      <w:spacing w:before="0" w:line="220" w:lineRule="exact"/>
                      <w:ind w:left="60" w:right="0" w:firstLine="0"/>
                      <w:jc w:val="left"/>
                      <w:rPr>
                        <w:sz w:val="18"/>
                      </w:rPr>
                    </w:pPr>
                    <w:r>
                      <w:fldChar w:fldCharType="begin"/>
                    </w:r>
                    <w:r>
                      <w:rPr>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FDD2C">
    <w:pPr>
      <w:pStyle w:val="5"/>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3683000</wp:posOffset>
              </wp:positionH>
              <wp:positionV relativeFrom="page">
                <wp:posOffset>9765030</wp:posOffset>
              </wp:positionV>
              <wp:extent cx="191770" cy="139700"/>
              <wp:effectExtent l="0" t="0" r="0" b="0"/>
              <wp:wrapNone/>
              <wp:docPr id="56" name="文本框 2"/>
              <wp:cNvGraphicFramePr/>
              <a:graphic xmlns:a="http://schemas.openxmlformats.org/drawingml/2006/main">
                <a:graphicData uri="http://schemas.microsoft.com/office/word/2010/wordprocessingShape">
                  <wps:wsp>
                    <wps:cNvSpPr txBox="1"/>
                    <wps:spPr>
                      <a:xfrm>
                        <a:off x="0" y="0"/>
                        <a:ext cx="191770" cy="139700"/>
                      </a:xfrm>
                      <a:prstGeom prst="rect">
                        <a:avLst/>
                      </a:prstGeom>
                      <a:noFill/>
                      <a:ln>
                        <a:noFill/>
                      </a:ln>
                    </wps:spPr>
                    <wps:txbx>
                      <w:txbxContent>
                        <w:p w14:paraId="799C5167">
                          <w:pPr>
                            <w:spacing w:before="0" w:line="220" w:lineRule="exact"/>
                            <w:ind w:left="60" w:right="0" w:firstLine="0"/>
                            <w:jc w:val="left"/>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0pt;margin-top:768.9pt;height:11pt;width:15.1pt;mso-position-horizontal-relative:page;mso-position-vertical-relative:page;z-index:-251656192;mso-width-relative:page;mso-height-relative:page;" filled="f" stroked="f" coordsize="21600,21600" o:gfxdata="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t71FbaAAAADQEAAA8AAAAAAAAAAQAgAAAAIgAAAGRycy9kb3ducmV2LnhtbFBL&#10;AQIUABQAAAAIAIdO4kA/slQUuwEAAHIDAAAOAAAAAAAAAAEAIAAAACkBAABkcnMvZTJvRG9jLnht&#10;bFBLBQYAAAAABgAGAFkBAABWBQAAAAA=&#10;">
              <v:fill on="f" focussize="0,0"/>
              <v:stroke on="f"/>
              <v:imagedata o:title=""/>
              <o:lock v:ext="edit" aspectratio="f"/>
              <v:textbox inset="0mm,0mm,0mm,0mm">
                <w:txbxContent>
                  <w:p w14:paraId="799C5167">
                    <w:pPr>
                      <w:spacing w:before="0" w:line="220" w:lineRule="exact"/>
                      <w:ind w:left="60" w:right="0" w:firstLine="0"/>
                      <w:jc w:val="left"/>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CD815">
    <w:pPr>
      <w:pStyle w:val="5"/>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4E3E3C"/>
    <w:multiLevelType w:val="singleLevel"/>
    <w:tmpl w:val="AC4E3E3C"/>
    <w:lvl w:ilvl="0" w:tentative="0">
      <w:start w:val="1"/>
      <w:numFmt w:val="decimal"/>
      <w:suff w:val="nothing"/>
      <w:lvlText w:val="%1、"/>
      <w:lvlJc w:val="left"/>
    </w:lvl>
  </w:abstractNum>
  <w:abstractNum w:abstractNumId="1">
    <w:nsid w:val="B0981651"/>
    <w:multiLevelType w:val="multilevel"/>
    <w:tmpl w:val="B0981651"/>
    <w:lvl w:ilvl="0" w:tentative="0">
      <w:start w:val="1"/>
      <w:numFmt w:val="decimal"/>
      <w:lvlText w:val="（%1）"/>
      <w:lvlJc w:val="left"/>
      <w:pPr>
        <w:ind w:left="713" w:hanging="601"/>
        <w:jc w:val="left"/>
      </w:pPr>
      <w:rPr>
        <w:rFonts w:hint="default" w:ascii="宋体" w:hAnsi="宋体" w:eastAsia="宋体" w:cs="宋体"/>
        <w:w w:val="100"/>
        <w:sz w:val="22"/>
        <w:szCs w:val="22"/>
      </w:rPr>
    </w:lvl>
    <w:lvl w:ilvl="1" w:tentative="0">
      <w:start w:val="0"/>
      <w:numFmt w:val="bullet"/>
      <w:lvlText w:val="•"/>
      <w:lvlJc w:val="left"/>
      <w:pPr>
        <w:ind w:left="1419" w:hanging="601"/>
      </w:pPr>
      <w:rPr>
        <w:rFonts w:hint="default"/>
      </w:rPr>
    </w:lvl>
    <w:lvl w:ilvl="2" w:tentative="0">
      <w:start w:val="0"/>
      <w:numFmt w:val="bullet"/>
      <w:lvlText w:val="•"/>
      <w:lvlJc w:val="left"/>
      <w:pPr>
        <w:ind w:left="2118" w:hanging="601"/>
      </w:pPr>
      <w:rPr>
        <w:rFonts w:hint="default"/>
      </w:rPr>
    </w:lvl>
    <w:lvl w:ilvl="3" w:tentative="0">
      <w:start w:val="0"/>
      <w:numFmt w:val="bullet"/>
      <w:lvlText w:val="•"/>
      <w:lvlJc w:val="left"/>
      <w:pPr>
        <w:ind w:left="2818" w:hanging="601"/>
      </w:pPr>
      <w:rPr>
        <w:rFonts w:hint="default"/>
      </w:rPr>
    </w:lvl>
    <w:lvl w:ilvl="4" w:tentative="0">
      <w:start w:val="0"/>
      <w:numFmt w:val="bullet"/>
      <w:lvlText w:val="•"/>
      <w:lvlJc w:val="left"/>
      <w:pPr>
        <w:ind w:left="3517" w:hanging="601"/>
      </w:pPr>
      <w:rPr>
        <w:rFonts w:hint="default"/>
      </w:rPr>
    </w:lvl>
    <w:lvl w:ilvl="5" w:tentative="0">
      <w:start w:val="0"/>
      <w:numFmt w:val="bullet"/>
      <w:lvlText w:val="•"/>
      <w:lvlJc w:val="left"/>
      <w:pPr>
        <w:ind w:left="4217" w:hanging="601"/>
      </w:pPr>
      <w:rPr>
        <w:rFonts w:hint="default"/>
      </w:rPr>
    </w:lvl>
    <w:lvl w:ilvl="6" w:tentative="0">
      <w:start w:val="0"/>
      <w:numFmt w:val="bullet"/>
      <w:lvlText w:val="•"/>
      <w:lvlJc w:val="left"/>
      <w:pPr>
        <w:ind w:left="4916" w:hanging="601"/>
      </w:pPr>
      <w:rPr>
        <w:rFonts w:hint="default"/>
      </w:rPr>
    </w:lvl>
    <w:lvl w:ilvl="7" w:tentative="0">
      <w:start w:val="0"/>
      <w:numFmt w:val="bullet"/>
      <w:lvlText w:val="•"/>
      <w:lvlJc w:val="left"/>
      <w:pPr>
        <w:ind w:left="5615" w:hanging="601"/>
      </w:pPr>
      <w:rPr>
        <w:rFonts w:hint="default"/>
      </w:rPr>
    </w:lvl>
    <w:lvl w:ilvl="8" w:tentative="0">
      <w:start w:val="0"/>
      <w:numFmt w:val="bullet"/>
      <w:lvlText w:val="•"/>
      <w:lvlJc w:val="left"/>
      <w:pPr>
        <w:ind w:left="6315" w:hanging="601"/>
      </w:pPr>
      <w:rPr>
        <w:rFonts w:hint="default"/>
      </w:rPr>
    </w:lvl>
  </w:abstractNum>
  <w:abstractNum w:abstractNumId="2">
    <w:nsid w:val="7DB98BFF"/>
    <w:multiLevelType w:val="multilevel"/>
    <w:tmpl w:val="7DB98BFF"/>
    <w:lvl w:ilvl="0" w:tentative="0">
      <w:start w:val="1"/>
      <w:numFmt w:val="decimal"/>
      <w:lvlText w:val="（%1）"/>
      <w:lvlJc w:val="left"/>
      <w:pPr>
        <w:ind w:left="112" w:hanging="608"/>
        <w:jc w:val="left"/>
      </w:pPr>
      <w:rPr>
        <w:rFonts w:hint="default" w:ascii="宋体" w:hAnsi="宋体" w:eastAsia="宋体" w:cs="宋体"/>
        <w:spacing w:val="2"/>
        <w:w w:val="100"/>
        <w:sz w:val="22"/>
        <w:szCs w:val="22"/>
      </w:rPr>
    </w:lvl>
    <w:lvl w:ilvl="1" w:tentative="0">
      <w:start w:val="0"/>
      <w:numFmt w:val="bullet"/>
      <w:lvlText w:val="•"/>
      <w:lvlJc w:val="left"/>
      <w:pPr>
        <w:ind w:left="869" w:hanging="608"/>
      </w:pPr>
      <w:rPr>
        <w:rFonts w:hint="default"/>
      </w:rPr>
    </w:lvl>
    <w:lvl w:ilvl="2" w:tentative="0">
      <w:start w:val="0"/>
      <w:numFmt w:val="bullet"/>
      <w:lvlText w:val="•"/>
      <w:lvlJc w:val="left"/>
      <w:pPr>
        <w:ind w:left="1619" w:hanging="608"/>
      </w:pPr>
      <w:rPr>
        <w:rFonts w:hint="default"/>
      </w:rPr>
    </w:lvl>
    <w:lvl w:ilvl="3" w:tentative="0">
      <w:start w:val="0"/>
      <w:numFmt w:val="bullet"/>
      <w:lvlText w:val="•"/>
      <w:lvlJc w:val="left"/>
      <w:pPr>
        <w:ind w:left="2369" w:hanging="608"/>
      </w:pPr>
      <w:rPr>
        <w:rFonts w:hint="default"/>
      </w:rPr>
    </w:lvl>
    <w:lvl w:ilvl="4" w:tentative="0">
      <w:start w:val="0"/>
      <w:numFmt w:val="bullet"/>
      <w:lvlText w:val="•"/>
      <w:lvlJc w:val="left"/>
      <w:pPr>
        <w:ind w:left="3119" w:hanging="608"/>
      </w:pPr>
      <w:rPr>
        <w:rFonts w:hint="default"/>
      </w:rPr>
    </w:lvl>
    <w:lvl w:ilvl="5" w:tentative="0">
      <w:start w:val="0"/>
      <w:numFmt w:val="bullet"/>
      <w:lvlText w:val="•"/>
      <w:lvlJc w:val="left"/>
      <w:pPr>
        <w:ind w:left="3869" w:hanging="608"/>
      </w:pPr>
      <w:rPr>
        <w:rFonts w:hint="default"/>
      </w:rPr>
    </w:lvl>
    <w:lvl w:ilvl="6" w:tentative="0">
      <w:start w:val="0"/>
      <w:numFmt w:val="bullet"/>
      <w:lvlText w:val="•"/>
      <w:lvlJc w:val="left"/>
      <w:pPr>
        <w:ind w:left="4618" w:hanging="608"/>
      </w:pPr>
      <w:rPr>
        <w:rFonts w:hint="default"/>
      </w:rPr>
    </w:lvl>
    <w:lvl w:ilvl="7" w:tentative="0">
      <w:start w:val="0"/>
      <w:numFmt w:val="bullet"/>
      <w:lvlText w:val="•"/>
      <w:lvlJc w:val="left"/>
      <w:pPr>
        <w:ind w:left="5368" w:hanging="608"/>
      </w:pPr>
      <w:rPr>
        <w:rFonts w:hint="default"/>
      </w:rPr>
    </w:lvl>
    <w:lvl w:ilvl="8" w:tentative="0">
      <w:start w:val="0"/>
      <w:numFmt w:val="bullet"/>
      <w:lvlText w:val="•"/>
      <w:lvlJc w:val="left"/>
      <w:pPr>
        <w:ind w:left="6118" w:hanging="608"/>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ZmZTUwZjFlZDgzNTI0ODllOTllMmI1Mjc2M2QwYjMifQ=="/>
  </w:docVars>
  <w:rsids>
    <w:rsidRoot w:val="00000000"/>
    <w:rsid w:val="035158A3"/>
    <w:rsid w:val="10D150BF"/>
    <w:rsid w:val="1B116CFA"/>
    <w:rsid w:val="1CC56E88"/>
    <w:rsid w:val="1E777908"/>
    <w:rsid w:val="53244843"/>
    <w:rsid w:val="65BB267B"/>
    <w:rsid w:val="71031AA6"/>
    <w:rsid w:val="71DB032D"/>
    <w:rsid w:val="7AC64E6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qFormat/>
    <w:uiPriority w:val="1"/>
    <w:pPr>
      <w:spacing w:before="51"/>
      <w:ind w:right="216"/>
      <w:jc w:val="center"/>
      <w:outlineLvl w:val="1"/>
    </w:pPr>
    <w:rPr>
      <w:rFonts w:ascii="宋体" w:hAnsi="宋体" w:eastAsia="宋体" w:cs="宋体"/>
      <w:b/>
      <w:bCs/>
      <w:sz w:val="32"/>
      <w:szCs w:val="32"/>
    </w:rPr>
  </w:style>
  <w:style w:type="paragraph" w:styleId="3">
    <w:name w:val="heading 2"/>
    <w:basedOn w:val="1"/>
    <w:qFormat/>
    <w:uiPriority w:val="1"/>
    <w:pPr>
      <w:spacing w:line="308" w:lineRule="exact"/>
      <w:ind w:left="651" w:right="216"/>
      <w:jc w:val="center"/>
      <w:outlineLvl w:val="2"/>
    </w:pPr>
    <w:rPr>
      <w:rFonts w:ascii="Times New Roman" w:hAnsi="Times New Roman" w:eastAsia="Times New Roman" w:cs="Times New Roman"/>
      <w:b/>
      <w:bCs/>
      <w:sz w:val="28"/>
      <w:szCs w:val="28"/>
    </w:rPr>
  </w:style>
  <w:style w:type="paragraph" w:styleId="4">
    <w:name w:val="heading 3"/>
    <w:basedOn w:val="1"/>
    <w:qFormat/>
    <w:uiPriority w:val="1"/>
    <w:pPr>
      <w:spacing w:before="66"/>
      <w:ind w:left="220"/>
      <w:outlineLvl w:val="3"/>
    </w:pPr>
    <w:rPr>
      <w:rFonts w:ascii="宋体" w:hAnsi="宋体" w:eastAsia="宋体" w:cs="宋体"/>
      <w:b/>
      <w:bCs/>
      <w:sz w:val="24"/>
      <w:szCs w:val="24"/>
    </w:rPr>
  </w:style>
  <w:style w:type="character" w:default="1" w:styleId="12">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next w:val="1"/>
    <w:qFormat/>
    <w:uiPriority w:val="1"/>
    <w:rPr>
      <w:rFonts w:ascii="宋体" w:hAnsi="宋体" w:eastAsia="宋体" w:cs="宋体"/>
      <w:sz w:val="24"/>
      <w:szCs w:val="24"/>
    </w:rPr>
  </w:style>
  <w:style w:type="paragraph" w:styleId="6">
    <w:name w:val="Body Text Indent"/>
    <w:basedOn w:val="1"/>
    <w:semiHidden/>
    <w:qFormat/>
    <w:uiPriority w:val="0"/>
    <w:pPr>
      <w:spacing w:after="120"/>
      <w:ind w:left="420" w:leftChars="200"/>
    </w:pPr>
  </w:style>
  <w:style w:type="paragraph" w:styleId="7">
    <w:name w:val="toc 1"/>
    <w:basedOn w:val="1"/>
    <w:qFormat/>
    <w:uiPriority w:val="1"/>
    <w:pPr>
      <w:spacing w:before="173"/>
      <w:ind w:left="220"/>
    </w:pPr>
    <w:rPr>
      <w:rFonts w:ascii="宋体" w:hAnsi="宋体" w:eastAsia="宋体" w:cs="宋体"/>
      <w:sz w:val="24"/>
      <w:szCs w:val="24"/>
    </w:rPr>
  </w:style>
  <w:style w:type="paragraph" w:styleId="8">
    <w:name w:val="toc 2"/>
    <w:basedOn w:val="1"/>
    <w:next w:val="1"/>
    <w:qFormat/>
    <w:uiPriority w:val="0"/>
    <w:pPr>
      <w:ind w:left="420" w:leftChars="200"/>
    </w:pPr>
  </w:style>
  <w:style w:type="paragraph" w:styleId="9">
    <w:name w:val="Title"/>
    <w:basedOn w:val="1"/>
    <w:qFormat/>
    <w:uiPriority w:val="1"/>
    <w:pPr>
      <w:spacing w:before="33"/>
      <w:ind w:left="721"/>
    </w:pPr>
    <w:rPr>
      <w:rFonts w:ascii="宋体" w:hAnsi="宋体" w:eastAsia="宋体" w:cs="宋体"/>
      <w:b/>
      <w:bCs/>
      <w:sz w:val="48"/>
      <w:szCs w:val="4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Default"/>
    <w:basedOn w:val="14"/>
    <w:next w:val="15"/>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
    <w:name w:val="纯文本1"/>
    <w:basedOn w:val="1"/>
    <w:autoRedefine/>
    <w:qFormat/>
    <w:uiPriority w:val="0"/>
    <w:pPr>
      <w:adjustRightInd w:val="0"/>
    </w:pPr>
    <w:rPr>
      <w:rFonts w:ascii="宋体" w:hAnsi="Courier New"/>
      <w:szCs w:val="20"/>
    </w:rPr>
  </w:style>
  <w:style w:type="paragraph" w:customStyle="1" w:styleId="15">
    <w:name w:val="样式35"/>
    <w:basedOn w:val="16"/>
    <w:next w:val="19"/>
    <w:autoRedefine/>
    <w:qFormat/>
    <w:uiPriority w:val="0"/>
    <w:pPr>
      <w:widowControl w:val="0"/>
      <w:tabs>
        <w:tab w:val="left" w:pos="0"/>
        <w:tab w:val="left" w:pos="360"/>
        <w:tab w:val="left" w:pos="480"/>
        <w:tab w:val="left" w:pos="540"/>
        <w:tab w:val="left" w:pos="567"/>
        <w:tab w:val="left" w:pos="720"/>
      </w:tabs>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16">
    <w:name w:val="样式26"/>
    <w:basedOn w:val="17"/>
    <w:autoRedefine/>
    <w:qFormat/>
    <w:uiPriority w:val="0"/>
    <w:pPr>
      <w:tabs>
        <w:tab w:val="left" w:pos="0"/>
        <w:tab w:val="left" w:pos="360"/>
        <w:tab w:val="left" w:pos="480"/>
        <w:tab w:val="left" w:pos="540"/>
        <w:tab w:val="left" w:pos="567"/>
        <w:tab w:val="left" w:pos="720"/>
      </w:tabs>
    </w:pPr>
  </w:style>
  <w:style w:type="paragraph" w:customStyle="1" w:styleId="17">
    <w:name w:val="样式21"/>
    <w:basedOn w:val="18"/>
    <w:autoRedefine/>
    <w:qFormat/>
    <w:uiPriority w:val="0"/>
    <w:pPr>
      <w:tabs>
        <w:tab w:val="left" w:pos="0"/>
        <w:tab w:val="left" w:pos="360"/>
        <w:tab w:val="left" w:pos="480"/>
        <w:tab w:val="left" w:pos="540"/>
        <w:tab w:val="left" w:pos="720"/>
      </w:tabs>
      <w:spacing w:beforeLines="50" w:afterLines="50" w:line="360" w:lineRule="auto"/>
      <w:ind w:left="720" w:hanging="720"/>
      <w:outlineLvl w:val="2"/>
    </w:pPr>
    <w:rPr>
      <w:rFonts w:eastAsia="MS Mincho"/>
      <w:kern w:val="0"/>
      <w:sz w:val="24"/>
      <w:szCs w:val="32"/>
    </w:rPr>
  </w:style>
  <w:style w:type="paragraph" w:customStyle="1" w:styleId="18">
    <w:name w:val="样式5"/>
    <w:basedOn w:val="5"/>
    <w:autoRedefine/>
    <w:qFormat/>
    <w:uiPriority w:val="0"/>
    <w:pPr>
      <w:tabs>
        <w:tab w:val="left" w:pos="0"/>
        <w:tab w:val="left" w:pos="360"/>
        <w:tab w:val="left" w:pos="480"/>
      </w:tabs>
      <w:ind w:left="482" w:firstLine="0" w:firstLineChars="0"/>
    </w:pPr>
    <w:rPr>
      <w:rFonts w:eastAsia="仿宋_GB2312"/>
      <w:sz w:val="21"/>
      <w:szCs w:val="24"/>
    </w:rPr>
  </w:style>
  <w:style w:type="paragraph" w:customStyle="1" w:styleId="19">
    <w:name w:val="font6"/>
    <w:next w:val="8"/>
    <w:autoRedefine/>
    <w:qFormat/>
    <w:uiPriority w:val="0"/>
    <w:pPr>
      <w:spacing w:before="280" w:after="280"/>
      <w:jc w:val="both"/>
    </w:pPr>
    <w:rPr>
      <w:rFonts w:ascii="Times New Roman" w:hAnsi="Times New Roman" w:eastAsia="宋体" w:cs="Times New Roman"/>
      <w:kern w:val="2"/>
      <w:sz w:val="21"/>
      <w:szCs w:val="22"/>
      <w:lang w:val="en-US" w:eastAsia="zh-CN" w:bidi="ar-SA"/>
    </w:r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spacing w:before="1"/>
      <w:ind w:left="1309" w:hanging="606"/>
    </w:pPr>
    <w:rPr>
      <w:rFonts w:ascii="宋体" w:hAnsi="宋体" w:eastAsia="宋体" w:cs="宋体"/>
    </w:rPr>
  </w:style>
  <w:style w:type="paragraph" w:customStyle="1" w:styleId="22">
    <w:name w:val="Table Paragraph"/>
    <w:basedOn w:val="1"/>
    <w:qFormat/>
    <w:uiPriority w:val="1"/>
    <w:rPr>
      <w:rFonts w:ascii="宋体" w:hAnsi="宋体" w:eastAsia="宋体" w:cs="宋体"/>
    </w:rPr>
  </w:style>
  <w:style w:type="character" w:customStyle="1" w:styleId="23">
    <w:name w:val="font21"/>
    <w:basedOn w:val="12"/>
    <w:qFormat/>
    <w:uiPriority w:val="0"/>
    <w:rPr>
      <w:rFonts w:hint="default" w:ascii="Times New Roman" w:hAnsi="Times New Roman" w:cs="Times New Roman"/>
      <w:color w:val="000000"/>
      <w:sz w:val="21"/>
      <w:szCs w:val="21"/>
      <w:u w:val="none"/>
    </w:rPr>
  </w:style>
  <w:style w:type="character" w:customStyle="1" w:styleId="24">
    <w:name w:val="font11"/>
    <w:basedOn w:val="12"/>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50</Pages>
  <Words>5988</Words>
  <Characters>6800</Characters>
  <TotalTime>2</TotalTime>
  <ScaleCrop>false</ScaleCrop>
  <LinksUpToDate>false</LinksUpToDate>
  <CharactersWithSpaces>6902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2024-10-16T06:51:00Z</dcterms:created>
  <dc:creator>Administrator</dc:creator>
  <cp:lastModifiedBy>Angelshark</cp:lastModifiedBy>
  <dcterms:modified xsi:type="dcterms:W3CDTF">2024-12-04T06:41:39Z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2021-11-16T00:00:00Z</vt:filetime>
  </property>
  <property fmtid="{D5CDD505-2E9C-101B-9397-08002B2CF9AE}" pid="3" name="Creator">
    <vt:lpwstr>WPS 文字</vt:lpwstr>
  </property>
  <property fmtid="{D5CDD505-2E9C-101B-9397-08002B2CF9AE}" pid="4" name="LastSaved">
    <vt:filetime>2024-10-16T00:00:00Z</vt:filetime>
  </property>
  <property fmtid="{D5CDD505-2E9C-101B-9397-08002B2CF9AE}" pid="5" name="KSOProductBuildVer">
    <vt:lpwstr>2052-12.1.0.18912</vt:lpwstr>
  </property>
  <property fmtid="{D5CDD505-2E9C-101B-9397-08002B2CF9AE}" pid="6" name="ICV">
    <vt:lpwstr>F69DE1E257B04DBA8C3414C2E6660294_13</vt:lpwstr>
  </property>
</Properties>
</file>