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9796F">
      <w:pPr>
        <w:pStyle w:val="6"/>
        <w:keepNext w:val="0"/>
        <w:keepLines w:val="0"/>
        <w:pageBreakBefore w:val="0"/>
        <w:widowControl w:val="0"/>
        <w:kinsoku/>
        <w:wordWrap/>
        <w:overflowPunct/>
        <w:topLinePunct w:val="0"/>
        <w:autoSpaceDE w:val="0"/>
        <w:autoSpaceDN w:val="0"/>
        <w:bidi w:val="0"/>
        <w:adjustRightInd/>
        <w:snapToGrid/>
        <w:spacing w:before="0" w:line="269" w:lineRule="auto"/>
        <w:ind w:left="760" w:right="0" w:hanging="760"/>
        <w:jc w:val="center"/>
        <w:textAlignment w:val="auto"/>
      </w:pPr>
      <w:r>
        <w:rPr>
          <w:rFonts w:hint="eastAsia"/>
        </w:rPr>
        <w:t>台山鑫昊150MW渔光互补光伏发电项目配套升压站及输电线工程</w:t>
      </w:r>
      <w:r>
        <w:t>竣工环境保护验收意见</w:t>
      </w:r>
    </w:p>
    <w:p w14:paraId="0D2E94BD">
      <w:pPr>
        <w:pStyle w:val="3"/>
        <w:spacing w:before="4"/>
        <w:ind w:left="0"/>
        <w:rPr>
          <w:rFonts w:ascii="华文中宋"/>
          <w:sz w:val="40"/>
        </w:rPr>
      </w:pPr>
    </w:p>
    <w:p w14:paraId="75CF0244">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84" w:firstLineChars="200"/>
        <w:jc w:val="left"/>
        <w:textAlignment w:val="auto"/>
      </w:pPr>
      <w:r>
        <w:rPr>
          <w:rFonts w:hint="eastAsia"/>
          <w:spacing w:val="-4"/>
          <w:lang w:eastAsia="zh-CN"/>
        </w:rPr>
        <w:t>台山市鑫昊新能源有限公司</w:t>
      </w:r>
      <w:r>
        <w:rPr>
          <w:spacing w:val="-4"/>
        </w:rPr>
        <w:t xml:space="preserve">于 </w:t>
      </w:r>
      <w:r>
        <w:rPr>
          <w:rFonts w:ascii="Times New Roman" w:eastAsia="Times New Roman"/>
        </w:rPr>
        <w:t>202</w:t>
      </w:r>
      <w:r>
        <w:rPr>
          <w:rFonts w:hint="eastAsia" w:ascii="Times New Roman"/>
          <w:lang w:val="en-US" w:eastAsia="zh-CN"/>
        </w:rPr>
        <w:t>4</w:t>
      </w:r>
      <w:r>
        <w:rPr>
          <w:rFonts w:ascii="Times New Roman" w:eastAsia="Times New Roman"/>
        </w:rPr>
        <w:t xml:space="preserve"> </w:t>
      </w:r>
      <w:r>
        <w:rPr>
          <w:spacing w:val="-28"/>
        </w:rPr>
        <w:t xml:space="preserve">年 </w:t>
      </w:r>
      <w:r>
        <w:rPr>
          <w:rFonts w:ascii="Times New Roman" w:eastAsia="Times New Roman"/>
        </w:rPr>
        <w:t>1</w:t>
      </w:r>
      <w:r>
        <w:rPr>
          <w:rFonts w:hint="eastAsia" w:ascii="Times New Roman"/>
          <w:lang w:val="en-US" w:eastAsia="zh-CN"/>
        </w:rPr>
        <w:t>0</w:t>
      </w:r>
      <w:r>
        <w:rPr>
          <w:rFonts w:ascii="Times New Roman" w:eastAsia="Times New Roman"/>
        </w:rPr>
        <w:t xml:space="preserve"> </w:t>
      </w:r>
      <w:r>
        <w:rPr>
          <w:spacing w:val="-28"/>
        </w:rPr>
        <w:t xml:space="preserve">月 </w:t>
      </w:r>
      <w:r>
        <w:rPr>
          <w:rFonts w:hint="eastAsia" w:ascii="Times New Roman"/>
          <w:lang w:val="en-US" w:eastAsia="zh-CN"/>
        </w:rPr>
        <w:t>12</w:t>
      </w:r>
      <w:r>
        <w:t>日以</w:t>
      </w:r>
      <w:r>
        <w:rPr>
          <w:spacing w:val="-4"/>
        </w:rPr>
        <w:t>召开了</w:t>
      </w:r>
      <w:r>
        <w:rPr>
          <w:rFonts w:hint="eastAsia"/>
        </w:rPr>
        <w:t>台山</w:t>
      </w:r>
      <w:bookmarkStart w:id="0" w:name="_GoBack"/>
      <w:bookmarkEnd w:id="0"/>
      <w:r>
        <w:rPr>
          <w:rFonts w:hint="eastAsia"/>
        </w:rPr>
        <w:t>鑫昊150MW渔光互补光伏发电项目配套升压站及输电线工程</w:t>
      </w:r>
      <w:r>
        <w:t>竣工环境保护验收会。参加会议的有项目建设单位、验收调查单位、验收</w:t>
      </w:r>
      <w:r>
        <w:rPr>
          <w:spacing w:val="13"/>
        </w:rPr>
        <w:t>检测单位等单位的代表以及邀请的专家，会议成立了验收组（名单附后</w:t>
      </w:r>
      <w:r>
        <w:rPr>
          <w:spacing w:val="-152"/>
        </w:rPr>
        <w:t>）</w:t>
      </w:r>
      <w:r>
        <w:t>。</w:t>
      </w:r>
    </w:p>
    <w:p w14:paraId="5E18311D">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00" w:firstLineChars="200"/>
        <w:jc w:val="left"/>
        <w:textAlignment w:val="auto"/>
      </w:pPr>
      <w:r>
        <w:t>会议听取了建设管理单位对工程环境保护执行情况和调查单位对环保设施建设、生态恢复、环境质量等方面调查情况的汇报，调查单位介绍了竣工验收调查报告表，验收组审阅并核实了有关资料，根据专家组技术审查意见，经认真讨论，形成验收意见如下：</w:t>
      </w:r>
    </w:p>
    <w:p w14:paraId="5ECE3ADD">
      <w:pPr>
        <w:pStyle w:val="2"/>
        <w:spacing w:before="66"/>
      </w:pPr>
      <w:r>
        <w:t>一、工程基本情况</w:t>
      </w:r>
    </w:p>
    <w:p w14:paraId="1DCE6C59">
      <w:pPr>
        <w:pStyle w:val="3"/>
        <w:keepNext w:val="0"/>
        <w:keepLines w:val="0"/>
        <w:pageBreakBefore w:val="0"/>
        <w:widowControl w:val="0"/>
        <w:kinsoku/>
        <w:wordWrap/>
        <w:overflowPunct/>
        <w:topLinePunct w:val="0"/>
        <w:autoSpaceDE w:val="0"/>
        <w:autoSpaceDN w:val="0"/>
        <w:bidi w:val="0"/>
        <w:adjustRightInd/>
        <w:snapToGrid/>
        <w:spacing w:before="200" w:line="360" w:lineRule="auto"/>
        <w:ind w:left="0" w:right="0" w:firstLine="584" w:firstLineChars="200"/>
        <w:jc w:val="left"/>
        <w:textAlignment w:val="auto"/>
        <w:rPr>
          <w:rFonts w:hint="eastAsia" w:ascii="宋体" w:hAnsi="宋体" w:eastAsia="宋体" w:cs="宋体"/>
          <w:color w:val="0000FF"/>
          <w:spacing w:val="-4"/>
          <w:lang w:eastAsia="zh-CN"/>
        </w:rPr>
      </w:pPr>
      <w:r>
        <w:rPr>
          <w:rFonts w:hint="eastAsia" w:ascii="宋体" w:hAnsi="宋体" w:eastAsia="宋体" w:cs="宋体"/>
          <w:color w:val="0000FF"/>
          <w:spacing w:val="-4"/>
          <w:lang w:eastAsia="zh-CN"/>
        </w:rPr>
        <w:t>本次验收的工程建设内容：一座 220kV 升压站（鑫昊站），永久占地面积 6536.4 m</w:t>
      </w:r>
      <w:r>
        <w:rPr>
          <w:rFonts w:hint="eastAsia" w:ascii="宋体" w:hAnsi="宋体" w:eastAsia="宋体" w:cs="宋体"/>
          <w:color w:val="0000FF"/>
          <w:spacing w:val="-4"/>
          <w:vertAlign w:val="superscript"/>
          <w:lang w:eastAsia="zh-CN"/>
        </w:rPr>
        <w:t>2</w:t>
      </w:r>
      <w:r>
        <w:rPr>
          <w:rFonts w:hint="eastAsia" w:ascii="宋体" w:hAnsi="宋体" w:eastAsia="宋体" w:cs="宋体"/>
          <w:color w:val="0000FF"/>
          <w:spacing w:val="-4"/>
          <w:lang w:eastAsia="zh-CN"/>
        </w:rPr>
        <w:t>； 一条 220 kV 输电线路，单回路，采用高架形式，长 1.83 km。</w:t>
      </w:r>
    </w:p>
    <w:p w14:paraId="45D2C03F">
      <w:pPr>
        <w:pStyle w:val="3"/>
        <w:keepNext w:val="0"/>
        <w:keepLines w:val="0"/>
        <w:pageBreakBefore w:val="0"/>
        <w:widowControl w:val="0"/>
        <w:kinsoku/>
        <w:wordWrap/>
        <w:overflowPunct/>
        <w:topLinePunct w:val="0"/>
        <w:autoSpaceDE w:val="0"/>
        <w:autoSpaceDN w:val="0"/>
        <w:bidi w:val="0"/>
        <w:adjustRightInd/>
        <w:snapToGrid/>
        <w:spacing w:before="200" w:line="360" w:lineRule="auto"/>
        <w:ind w:left="0" w:right="0" w:firstLine="584" w:firstLineChars="200"/>
        <w:jc w:val="left"/>
        <w:textAlignment w:val="auto"/>
        <w:rPr>
          <w:rFonts w:hint="eastAsia" w:ascii="宋体" w:hAnsi="宋体" w:eastAsia="宋体" w:cs="宋体"/>
          <w:color w:val="0000FF"/>
          <w:spacing w:val="-4"/>
          <w:lang w:eastAsia="zh-CN"/>
        </w:rPr>
        <w:sectPr>
          <w:footerReference r:id="rId5" w:type="default"/>
          <w:type w:val="continuous"/>
          <w:pgSz w:w="11910" w:h="16840"/>
          <w:pgMar w:top="1520" w:right="1340" w:bottom="1180" w:left="1540" w:header="720" w:footer="992" w:gutter="0"/>
          <w:pgNumType w:start="1"/>
          <w:cols w:space="720" w:num="1"/>
        </w:sectPr>
      </w:pPr>
    </w:p>
    <w:p w14:paraId="4173D2C4">
      <w:pPr>
        <w:pStyle w:val="3"/>
        <w:keepNext w:val="0"/>
        <w:keepLines w:val="0"/>
        <w:pageBreakBefore w:val="0"/>
        <w:widowControl w:val="0"/>
        <w:kinsoku/>
        <w:wordWrap/>
        <w:overflowPunct/>
        <w:topLinePunct w:val="0"/>
        <w:autoSpaceDE w:val="0"/>
        <w:autoSpaceDN w:val="0"/>
        <w:bidi w:val="0"/>
        <w:adjustRightInd/>
        <w:snapToGrid/>
        <w:spacing w:before="200"/>
        <w:ind w:left="0"/>
        <w:textAlignment w:val="auto"/>
      </w:pPr>
      <w:r>
        <w:t>（一）建设过程及环保审批情况</w:t>
      </w:r>
    </w:p>
    <w:p w14:paraId="0A4912C1">
      <w:pPr>
        <w:pStyle w:val="3"/>
        <w:keepNext w:val="0"/>
        <w:keepLines w:val="0"/>
        <w:pageBreakBefore w:val="0"/>
        <w:widowControl w:val="0"/>
        <w:kinsoku/>
        <w:wordWrap/>
        <w:overflowPunct/>
        <w:topLinePunct w:val="0"/>
        <w:autoSpaceDE w:val="0"/>
        <w:autoSpaceDN w:val="0"/>
        <w:bidi w:val="0"/>
        <w:adjustRightInd/>
        <w:snapToGrid/>
        <w:spacing w:before="200" w:line="360" w:lineRule="auto"/>
        <w:ind w:left="0" w:right="0" w:firstLine="584" w:firstLineChars="200"/>
        <w:jc w:val="left"/>
        <w:textAlignment w:val="auto"/>
        <w:rPr>
          <w:rFonts w:hint="eastAsia" w:ascii="宋体" w:hAnsi="宋体" w:eastAsia="宋体" w:cs="宋体"/>
          <w:spacing w:val="-4"/>
          <w:lang w:eastAsia="zh-CN"/>
        </w:rPr>
      </w:pPr>
      <w:r>
        <w:rPr>
          <w:rFonts w:hint="eastAsia" w:ascii="宋体" w:hAnsi="宋体" w:eastAsia="宋体" w:cs="宋体"/>
          <w:spacing w:val="-4"/>
          <w:lang w:eastAsia="zh-CN"/>
        </w:rPr>
        <w:t>20</w:t>
      </w:r>
      <w:r>
        <w:rPr>
          <w:rFonts w:hint="eastAsia" w:ascii="宋体" w:hAnsi="宋体" w:eastAsia="宋体" w:cs="宋体"/>
          <w:spacing w:val="-4"/>
          <w:lang w:val="en-US" w:eastAsia="zh-CN"/>
        </w:rPr>
        <w:t>23</w:t>
      </w:r>
      <w:r>
        <w:rPr>
          <w:rFonts w:hint="eastAsia" w:ascii="宋体" w:hAnsi="宋体" w:eastAsia="宋体" w:cs="宋体"/>
          <w:spacing w:val="-4"/>
          <w:lang w:eastAsia="zh-CN"/>
        </w:rPr>
        <w:t xml:space="preserve"> 年 7 月，建设单位委托江门市佰博环保有限公司编制完成了“台山鑫昊150MW渔光互补光伏发电项目配套升压站及输电线工程环境影响报告表”。 </w:t>
      </w:r>
    </w:p>
    <w:p w14:paraId="589C72F7">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84" w:firstLineChars="200"/>
        <w:jc w:val="left"/>
        <w:textAlignment w:val="auto"/>
        <w:rPr>
          <w:rFonts w:hint="eastAsia" w:ascii="宋体" w:hAnsi="宋体" w:eastAsia="宋体" w:cs="宋体"/>
          <w:spacing w:val="-4"/>
          <w:lang w:eastAsia="zh-CN"/>
        </w:rPr>
      </w:pPr>
      <w:r>
        <w:rPr>
          <w:rFonts w:hint="eastAsia" w:ascii="宋体" w:hAnsi="宋体" w:eastAsia="宋体" w:cs="宋体"/>
          <w:spacing w:val="-4"/>
          <w:lang w:eastAsia="zh-CN"/>
        </w:rPr>
        <w:t>20</w:t>
      </w:r>
      <w:r>
        <w:rPr>
          <w:rFonts w:hint="eastAsia" w:ascii="宋体" w:hAnsi="宋体" w:eastAsia="宋体" w:cs="宋体"/>
          <w:spacing w:val="-4"/>
          <w:lang w:val="en-US" w:eastAsia="zh-CN"/>
        </w:rPr>
        <w:t>23</w:t>
      </w:r>
      <w:r>
        <w:rPr>
          <w:rFonts w:hint="eastAsia" w:ascii="宋体" w:hAnsi="宋体" w:eastAsia="宋体" w:cs="宋体"/>
          <w:spacing w:val="-4"/>
          <w:lang w:eastAsia="zh-CN"/>
        </w:rPr>
        <w:t xml:space="preserve"> 年 </w:t>
      </w:r>
      <w:r>
        <w:rPr>
          <w:rFonts w:hint="eastAsia" w:ascii="宋体" w:hAnsi="宋体" w:eastAsia="宋体" w:cs="宋体"/>
          <w:spacing w:val="-4"/>
          <w:lang w:val="en-US" w:eastAsia="zh-CN"/>
        </w:rPr>
        <w:t>10</w:t>
      </w:r>
      <w:r>
        <w:rPr>
          <w:rFonts w:hint="eastAsia" w:ascii="宋体" w:hAnsi="宋体" w:eastAsia="宋体" w:cs="宋体"/>
          <w:spacing w:val="-4"/>
          <w:lang w:eastAsia="zh-CN"/>
        </w:rPr>
        <w:t xml:space="preserve"> 月 </w:t>
      </w:r>
      <w:r>
        <w:rPr>
          <w:rFonts w:hint="eastAsia" w:ascii="宋体" w:hAnsi="宋体" w:eastAsia="宋体" w:cs="宋体"/>
          <w:spacing w:val="-4"/>
          <w:lang w:val="en-US" w:eastAsia="zh-CN"/>
        </w:rPr>
        <w:t>31</w:t>
      </w:r>
      <w:r>
        <w:rPr>
          <w:rFonts w:hint="eastAsia" w:ascii="宋体" w:hAnsi="宋体" w:eastAsia="宋体" w:cs="宋体"/>
          <w:spacing w:val="-4"/>
          <w:lang w:eastAsia="zh-CN"/>
        </w:rPr>
        <w:t xml:space="preserve"> 日，江门市生态环境局台山分局对本工程环评报告表进行审批，批复文号为：江台环审﹝2023﹞85号。</w:t>
      </w:r>
    </w:p>
    <w:p w14:paraId="21A9A32F">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84" w:firstLineChars="200"/>
        <w:jc w:val="left"/>
        <w:textAlignment w:val="auto"/>
        <w:rPr>
          <w:rFonts w:hint="eastAsia" w:ascii="宋体" w:hAnsi="宋体" w:eastAsia="宋体" w:cs="宋体"/>
          <w:spacing w:val="-4"/>
          <w:lang w:eastAsia="zh-CN"/>
        </w:rPr>
      </w:pPr>
      <w:r>
        <w:rPr>
          <w:rFonts w:hint="eastAsia" w:ascii="宋体" w:hAnsi="宋体" w:eastAsia="宋体" w:cs="宋体"/>
          <w:spacing w:val="-4"/>
          <w:lang w:eastAsia="zh-CN"/>
        </w:rPr>
        <w:t>20</w:t>
      </w:r>
      <w:r>
        <w:rPr>
          <w:rFonts w:hint="eastAsia" w:ascii="宋体" w:hAnsi="宋体" w:eastAsia="宋体" w:cs="宋体"/>
          <w:spacing w:val="-4"/>
          <w:lang w:val="en-US" w:eastAsia="zh-CN"/>
        </w:rPr>
        <w:t>23</w:t>
      </w:r>
      <w:r>
        <w:rPr>
          <w:rFonts w:hint="eastAsia" w:ascii="宋体" w:hAnsi="宋体" w:eastAsia="宋体" w:cs="宋体"/>
          <w:spacing w:val="-4"/>
          <w:lang w:eastAsia="zh-CN"/>
        </w:rPr>
        <w:t xml:space="preserve"> 年 </w:t>
      </w:r>
      <w:r>
        <w:rPr>
          <w:rFonts w:hint="eastAsia" w:ascii="宋体" w:hAnsi="宋体" w:eastAsia="宋体" w:cs="宋体"/>
          <w:spacing w:val="-4"/>
          <w:lang w:val="en-US" w:eastAsia="zh-CN"/>
        </w:rPr>
        <w:t xml:space="preserve">12 </w:t>
      </w:r>
      <w:r>
        <w:rPr>
          <w:rFonts w:hint="eastAsia" w:ascii="宋体" w:hAnsi="宋体" w:eastAsia="宋体" w:cs="宋体"/>
          <w:spacing w:val="-4"/>
          <w:lang w:eastAsia="zh-CN"/>
        </w:rPr>
        <w:t>月，本工程开工建设；20</w:t>
      </w:r>
      <w:r>
        <w:rPr>
          <w:rFonts w:hint="eastAsia" w:ascii="宋体" w:hAnsi="宋体" w:eastAsia="宋体" w:cs="宋体"/>
          <w:spacing w:val="-4"/>
          <w:lang w:val="en-US" w:eastAsia="zh-CN"/>
        </w:rPr>
        <w:t>24</w:t>
      </w:r>
      <w:r>
        <w:rPr>
          <w:rFonts w:hint="eastAsia" w:ascii="宋体" w:hAnsi="宋体" w:eastAsia="宋体" w:cs="宋体"/>
          <w:spacing w:val="-4"/>
          <w:lang w:eastAsia="zh-CN"/>
        </w:rPr>
        <w:t xml:space="preserve"> 年 </w:t>
      </w:r>
      <w:r>
        <w:rPr>
          <w:rFonts w:hint="eastAsia" w:ascii="宋体" w:hAnsi="宋体" w:eastAsia="宋体" w:cs="宋体"/>
          <w:spacing w:val="-4"/>
          <w:lang w:val="en-US" w:eastAsia="zh-CN"/>
        </w:rPr>
        <w:t>6</w:t>
      </w:r>
      <w:r>
        <w:rPr>
          <w:rFonts w:hint="eastAsia" w:ascii="宋体" w:hAnsi="宋体" w:eastAsia="宋体" w:cs="宋体"/>
          <w:spacing w:val="-4"/>
          <w:lang w:eastAsia="zh-CN"/>
        </w:rPr>
        <w:t xml:space="preserve"> 月，</w:t>
      </w:r>
      <w:r>
        <w:rPr>
          <w:rFonts w:hint="eastAsia" w:ascii="宋体" w:hAnsi="宋体" w:eastAsia="宋体" w:cs="宋体"/>
          <w:spacing w:val="-4"/>
          <w:lang w:val="en-US" w:eastAsia="zh-CN"/>
        </w:rPr>
        <w:t>项目竣工</w:t>
      </w:r>
      <w:r>
        <w:rPr>
          <w:rFonts w:hint="eastAsia" w:ascii="宋体" w:hAnsi="宋体" w:eastAsia="宋体" w:cs="宋体"/>
          <w:spacing w:val="-4"/>
          <w:lang w:eastAsia="zh-CN"/>
        </w:rPr>
        <w:t>，并于 202</w:t>
      </w:r>
      <w:r>
        <w:rPr>
          <w:rFonts w:hint="eastAsia" w:ascii="宋体" w:hAnsi="宋体" w:eastAsia="宋体" w:cs="宋体"/>
          <w:spacing w:val="-4"/>
          <w:lang w:val="en-US" w:eastAsia="zh-CN"/>
        </w:rPr>
        <w:t>4</w:t>
      </w:r>
      <w:r>
        <w:rPr>
          <w:rFonts w:hint="eastAsia" w:ascii="宋体" w:hAnsi="宋体" w:eastAsia="宋体" w:cs="宋体"/>
          <w:spacing w:val="-4"/>
          <w:lang w:eastAsia="zh-CN"/>
        </w:rPr>
        <w:t xml:space="preserve">年 </w:t>
      </w:r>
      <w:r>
        <w:rPr>
          <w:rFonts w:hint="eastAsia" w:ascii="宋体" w:hAnsi="宋体" w:eastAsia="宋体" w:cs="宋体"/>
          <w:spacing w:val="-4"/>
          <w:lang w:val="en-US" w:eastAsia="zh-CN"/>
        </w:rPr>
        <w:t>7</w:t>
      </w:r>
      <w:r>
        <w:rPr>
          <w:rFonts w:hint="eastAsia" w:ascii="宋体" w:hAnsi="宋体" w:eastAsia="宋体" w:cs="宋体"/>
          <w:spacing w:val="-4"/>
          <w:lang w:eastAsia="zh-CN"/>
        </w:rPr>
        <w:t xml:space="preserve"> 月</w:t>
      </w:r>
      <w:r>
        <w:rPr>
          <w:rFonts w:hint="eastAsia" w:cs="宋体"/>
          <w:spacing w:val="-4"/>
          <w:lang w:val="en-US" w:eastAsia="zh-CN"/>
        </w:rPr>
        <w:t>开展</w:t>
      </w:r>
      <w:r>
        <w:rPr>
          <w:rFonts w:hint="eastAsia" w:ascii="宋体" w:hAnsi="宋体" w:eastAsia="宋体" w:cs="宋体"/>
          <w:spacing w:val="-4"/>
          <w:lang w:eastAsia="zh-CN"/>
        </w:rPr>
        <w:t>自主验收工作。</w:t>
      </w:r>
    </w:p>
    <w:p w14:paraId="400995CC">
      <w:pPr>
        <w:pStyle w:val="3"/>
        <w:ind w:left="704"/>
      </w:pPr>
      <w:r>
        <w:t>（二）投资情况</w:t>
      </w:r>
    </w:p>
    <w:p w14:paraId="325B8D31">
      <w:pPr>
        <w:pStyle w:val="3"/>
        <w:spacing w:line="388" w:lineRule="auto"/>
        <w:ind w:right="308" w:firstLine="599"/>
      </w:pPr>
      <w:r>
        <w:rPr>
          <w:spacing w:val="-9"/>
        </w:rPr>
        <w:t xml:space="preserve">工程实际总投资为 </w:t>
      </w:r>
      <w:r>
        <w:rPr>
          <w:rFonts w:hint="eastAsia" w:ascii="Times New Roman"/>
          <w:lang w:val="en-US" w:eastAsia="zh-CN"/>
        </w:rPr>
        <w:t>20430</w:t>
      </w:r>
      <w:r>
        <w:rPr>
          <w:rFonts w:ascii="Times New Roman" w:eastAsia="Times New Roman"/>
        </w:rPr>
        <w:t xml:space="preserve"> </w:t>
      </w:r>
      <w:r>
        <w:rPr>
          <w:spacing w:val="-17"/>
        </w:rPr>
        <w:t xml:space="preserve">万元，环保投资 </w:t>
      </w:r>
      <w:r>
        <w:rPr>
          <w:rFonts w:hint="eastAsia" w:ascii="Times New Roman"/>
          <w:lang w:val="en-US" w:eastAsia="zh-CN"/>
        </w:rPr>
        <w:t>100</w:t>
      </w:r>
      <w:r>
        <w:rPr>
          <w:rFonts w:ascii="Times New Roman" w:eastAsia="Times New Roman"/>
        </w:rPr>
        <w:t xml:space="preserve"> </w:t>
      </w:r>
      <w:r>
        <w:rPr>
          <w:spacing w:val="-9"/>
        </w:rPr>
        <w:t>万元，占总投</w:t>
      </w:r>
      <w:r>
        <w:rPr>
          <w:spacing w:val="-31"/>
        </w:rPr>
        <w:t xml:space="preserve">资的 </w:t>
      </w:r>
      <w:r>
        <w:rPr>
          <w:rFonts w:hint="eastAsia" w:ascii="Times New Roman"/>
          <w:lang w:val="en-US" w:eastAsia="zh-CN"/>
        </w:rPr>
        <w:t>0.49</w:t>
      </w:r>
      <w:r>
        <w:rPr>
          <w:rFonts w:ascii="Times New Roman" w:eastAsia="Times New Roman"/>
        </w:rPr>
        <w:t>%</w:t>
      </w:r>
      <w:r>
        <w:t>。</w:t>
      </w:r>
    </w:p>
    <w:p w14:paraId="321AA3F0">
      <w:pPr>
        <w:pStyle w:val="2"/>
        <w:spacing w:before="59"/>
      </w:pPr>
      <w:r>
        <w:t>二、工程变更情况</w:t>
      </w:r>
    </w:p>
    <w:p w14:paraId="58B7A7D3">
      <w:pPr>
        <w:pStyle w:val="3"/>
        <w:spacing w:before="172" w:line="388" w:lineRule="auto"/>
        <w:ind w:right="157" w:firstLine="599"/>
      </w:pPr>
      <w:r>
        <w:rPr>
          <w:spacing w:val="-6"/>
        </w:rPr>
        <w:t>经审阅验收调查报告表与现场核实，本项目升压站在环评阶段</w:t>
      </w:r>
      <w:r>
        <w:rPr>
          <w:spacing w:val="-19"/>
        </w:rPr>
        <w:t>拟建场址处进行建设，升压站的电压等级、变压器数量、主变容量、</w:t>
      </w:r>
      <w:r>
        <w:rPr>
          <w:spacing w:val="-4"/>
        </w:rPr>
        <w:t>主变布臵方式等较环评阶段相比较均未发生重大变化。因此，本项目工程实际建设情况与环评阶段基本一致，无重大变动。</w:t>
      </w:r>
    </w:p>
    <w:p w14:paraId="168F8E59">
      <w:pPr>
        <w:pStyle w:val="2"/>
        <w:spacing w:before="63"/>
      </w:pPr>
      <w:r>
        <w:t>三、环境保护执行情况</w:t>
      </w:r>
    </w:p>
    <w:p w14:paraId="621776CD">
      <w:pPr>
        <w:pStyle w:val="3"/>
        <w:keepNext w:val="0"/>
        <w:keepLines w:val="0"/>
        <w:pageBreakBefore w:val="0"/>
        <w:widowControl w:val="0"/>
        <w:kinsoku/>
        <w:wordWrap/>
        <w:overflowPunct/>
        <w:topLinePunct w:val="0"/>
        <w:autoSpaceDE w:val="0"/>
        <w:autoSpaceDN w:val="0"/>
        <w:bidi w:val="0"/>
        <w:adjustRightInd/>
        <w:snapToGrid/>
        <w:spacing w:before="200" w:line="360" w:lineRule="auto"/>
        <w:ind w:left="0" w:right="0" w:firstLine="600" w:firstLineChars="200"/>
        <w:jc w:val="left"/>
        <w:textAlignment w:val="auto"/>
      </w:pPr>
      <w:r>
        <w:rPr>
          <w:rFonts w:hint="eastAsia"/>
          <w:lang w:val="en-US" w:eastAsia="zh-CN"/>
        </w:rPr>
        <w:t>江门市泰邦环保</w:t>
      </w:r>
      <w:r>
        <w:t>有限公司受</w:t>
      </w:r>
      <w:r>
        <w:rPr>
          <w:rFonts w:hint="eastAsia"/>
          <w:spacing w:val="-4"/>
          <w:lang w:eastAsia="zh-CN"/>
        </w:rPr>
        <w:t>台山市鑫昊新能源有限公司</w:t>
      </w:r>
      <w:r>
        <w:rPr>
          <w:spacing w:val="-11"/>
        </w:rPr>
        <w:t>委托，依据有关规定和技术要求，核实了项目环评报告及其</w:t>
      </w:r>
      <w:r>
        <w:rPr>
          <w:spacing w:val="-6"/>
        </w:rPr>
        <w:t>批复文件提出的有关环保措施的落实情况，对工程生态环境影响和</w:t>
      </w:r>
      <w:r>
        <w:rPr>
          <w:spacing w:val="-7"/>
        </w:rPr>
        <w:t>各类污染影响进行了监测与调查，编制完成该项目竣工环境保护验</w:t>
      </w:r>
      <w:r>
        <w:t>收调查报告表。</w:t>
      </w:r>
    </w:p>
    <w:p w14:paraId="3BB3BDC7">
      <w:pPr>
        <w:pStyle w:val="2"/>
        <w:spacing w:before="62"/>
      </w:pPr>
      <w:r>
        <w:t>四、验收结果</w:t>
      </w:r>
    </w:p>
    <w:p w14:paraId="196663D5">
      <w:pPr>
        <w:pStyle w:val="11"/>
        <w:numPr>
          <w:ilvl w:val="0"/>
          <w:numId w:val="1"/>
        </w:numPr>
        <w:tabs>
          <w:tab w:val="left" w:pos="1457"/>
        </w:tabs>
        <w:spacing w:before="172" w:after="0" w:line="240" w:lineRule="auto"/>
        <w:ind w:left="1456" w:right="0" w:hanging="753"/>
        <w:jc w:val="left"/>
        <w:rPr>
          <w:sz w:val="30"/>
        </w:rPr>
      </w:pPr>
      <w:r>
        <w:rPr>
          <w:sz w:val="30"/>
        </w:rPr>
        <w:t>生态环境影响调查</w:t>
      </w:r>
    </w:p>
    <w:p w14:paraId="3EDF762C">
      <w:pPr>
        <w:pStyle w:val="3"/>
        <w:spacing w:line="388" w:lineRule="auto"/>
        <w:ind w:right="308" w:firstLine="599"/>
        <w:jc w:val="both"/>
      </w:pPr>
      <w:r>
        <w:rPr>
          <w:spacing w:val="-6"/>
        </w:rPr>
        <w:t>工程建设落实了必要的生态恢复和水土保持措施，现场调查未</w:t>
      </w:r>
      <w:r>
        <w:rPr>
          <w:spacing w:val="-8"/>
        </w:rPr>
        <w:t>发现有明显的水土流失现象，工程建设未对周边区域生态环境产生</w:t>
      </w:r>
      <w:r>
        <w:t>明显影响。</w:t>
      </w:r>
    </w:p>
    <w:p w14:paraId="512921F7">
      <w:pPr>
        <w:pStyle w:val="11"/>
        <w:numPr>
          <w:ilvl w:val="0"/>
          <w:numId w:val="1"/>
        </w:numPr>
        <w:tabs>
          <w:tab w:val="left" w:pos="1457"/>
        </w:tabs>
        <w:spacing w:before="4" w:after="0" w:line="240" w:lineRule="auto"/>
        <w:ind w:left="1456" w:right="0" w:hanging="753"/>
        <w:jc w:val="left"/>
        <w:rPr>
          <w:sz w:val="30"/>
        </w:rPr>
      </w:pPr>
      <w:r>
        <w:rPr>
          <w:sz w:val="30"/>
        </w:rPr>
        <w:t>电磁环境影响调查</w:t>
      </w:r>
    </w:p>
    <w:p w14:paraId="1C4D9093">
      <w:pPr>
        <w:pStyle w:val="3"/>
        <w:spacing w:line="388" w:lineRule="auto"/>
        <w:ind w:right="231" w:firstLine="599"/>
      </w:pPr>
      <w:r>
        <w:rPr>
          <w:rFonts w:ascii="Times New Roman" w:hAnsi="Times New Roman" w:eastAsia="Times New Roman"/>
        </w:rPr>
        <w:t xml:space="preserve">220kV </w:t>
      </w:r>
      <w:r>
        <w:t xml:space="preserve">升压站厂界四周及衰减断面工频电场强度、工频磁感应强度能够满足 </w:t>
      </w:r>
      <w:r>
        <w:rPr>
          <w:rFonts w:ascii="Times New Roman" w:hAnsi="Times New Roman" w:eastAsia="Times New Roman"/>
        </w:rPr>
        <w:t>4kV/m</w:t>
      </w:r>
      <w:r>
        <w:t>、</w:t>
      </w:r>
      <w:r>
        <w:rPr>
          <w:rFonts w:ascii="Times New Roman" w:hAnsi="Times New Roman" w:eastAsia="Times New Roman"/>
        </w:rPr>
        <w:t xml:space="preserve">100μT </w:t>
      </w:r>
      <w:r>
        <w:t>的公众曝露控制限值。</w:t>
      </w:r>
    </w:p>
    <w:p w14:paraId="5313C1D5">
      <w:pPr>
        <w:pStyle w:val="11"/>
        <w:numPr>
          <w:ilvl w:val="0"/>
          <w:numId w:val="1"/>
        </w:numPr>
        <w:tabs>
          <w:tab w:val="left" w:pos="1457"/>
        </w:tabs>
        <w:spacing w:before="2" w:after="0" w:line="240" w:lineRule="auto"/>
        <w:ind w:left="1456" w:right="0" w:hanging="753"/>
        <w:jc w:val="left"/>
        <w:rPr>
          <w:sz w:val="30"/>
        </w:rPr>
      </w:pPr>
      <w:r>
        <w:rPr>
          <w:sz w:val="30"/>
        </w:rPr>
        <w:t>声环境影响调查</w:t>
      </w:r>
    </w:p>
    <w:p w14:paraId="2F9A1AB6">
      <w:pPr>
        <w:pStyle w:val="3"/>
        <w:spacing w:line="388" w:lineRule="auto"/>
        <w:ind w:right="231" w:firstLine="599"/>
      </w:pPr>
      <w:r>
        <w:rPr>
          <w:rFonts w:ascii="Times New Roman" w:hAnsi="Times New Roman" w:eastAsia="Times New Roman"/>
        </w:rPr>
        <w:t xml:space="preserve">220kV </w:t>
      </w:r>
      <w:r>
        <w:t>升压站厂界</w:t>
      </w:r>
      <w:r>
        <w:rPr>
          <w:rFonts w:hint="eastAsia"/>
          <w:lang w:val="en-US" w:eastAsia="zh-CN"/>
        </w:rPr>
        <w:t>及附近敏感点</w:t>
      </w:r>
      <w:r>
        <w:t>昼、夜间噪声监测结果均满足《工业企业厂界环境噪声排放标准》（</w:t>
      </w:r>
      <w:r>
        <w:rPr>
          <w:rFonts w:ascii="Times New Roman" w:hAnsi="Times New Roman" w:eastAsia="Times New Roman"/>
        </w:rPr>
        <w:t>GB12348-2008</w:t>
      </w:r>
      <w:r>
        <w:t>）中</w:t>
      </w:r>
      <w:r>
        <w:rPr>
          <w:rFonts w:ascii="Times New Roman" w:hAnsi="Times New Roman" w:eastAsia="Times New Roman"/>
        </w:rPr>
        <w:t>“</w:t>
      </w:r>
      <w:r>
        <w:rPr>
          <w:rFonts w:hint="eastAsia" w:ascii="Times New Roman" w:hAnsi="Times New Roman"/>
          <w:lang w:val="en-US" w:eastAsia="zh-CN"/>
        </w:rPr>
        <w:t>2</w:t>
      </w:r>
      <w:r>
        <w:rPr>
          <w:rFonts w:ascii="Times New Roman" w:hAnsi="Times New Roman" w:eastAsia="Times New Roman"/>
        </w:rPr>
        <w:t xml:space="preserve"> </w:t>
      </w:r>
      <w:r>
        <w:t>类</w:t>
      </w:r>
      <w:r>
        <w:rPr>
          <w:rFonts w:ascii="Times New Roman" w:hAnsi="Times New Roman" w:eastAsia="Times New Roman"/>
        </w:rPr>
        <w:t>”</w:t>
      </w:r>
      <w:r>
        <w:t>标准要求。</w:t>
      </w:r>
    </w:p>
    <w:p w14:paraId="31B67132">
      <w:pPr>
        <w:pStyle w:val="11"/>
        <w:numPr>
          <w:ilvl w:val="0"/>
          <w:numId w:val="1"/>
        </w:numPr>
        <w:tabs>
          <w:tab w:val="left" w:pos="1457"/>
        </w:tabs>
        <w:spacing w:before="3" w:after="0" w:line="240" w:lineRule="auto"/>
        <w:ind w:left="1456" w:right="0" w:hanging="753"/>
        <w:jc w:val="left"/>
        <w:rPr>
          <w:sz w:val="30"/>
        </w:rPr>
      </w:pPr>
      <w:r>
        <w:rPr>
          <w:sz w:val="30"/>
        </w:rPr>
        <w:t>水环境影响调查</w:t>
      </w:r>
    </w:p>
    <w:p w14:paraId="4C45F431">
      <w:pPr>
        <w:pStyle w:val="3"/>
        <w:spacing w:line="388" w:lineRule="auto"/>
        <w:ind w:right="308" w:firstLine="599"/>
      </w:pPr>
      <w:r>
        <w:rPr>
          <w:rFonts w:hint="eastAsia"/>
          <w:spacing w:val="-1"/>
          <w:lang w:val="en-US" w:eastAsia="zh-CN"/>
        </w:rPr>
        <w:t>项目无废水排放</w:t>
      </w:r>
      <w:r>
        <w:t>。</w:t>
      </w:r>
    </w:p>
    <w:p w14:paraId="7E9452CE">
      <w:pPr>
        <w:pStyle w:val="11"/>
        <w:numPr>
          <w:ilvl w:val="0"/>
          <w:numId w:val="1"/>
        </w:numPr>
        <w:tabs>
          <w:tab w:val="left" w:pos="1457"/>
        </w:tabs>
        <w:spacing w:before="2" w:after="0" w:line="240" w:lineRule="auto"/>
        <w:ind w:left="1456" w:right="0" w:hanging="753"/>
        <w:jc w:val="left"/>
        <w:rPr>
          <w:sz w:val="30"/>
        </w:rPr>
      </w:pPr>
      <w:r>
        <w:rPr>
          <w:sz w:val="30"/>
        </w:rPr>
        <w:t>固体废物影响调查</w:t>
      </w:r>
    </w:p>
    <w:p w14:paraId="3F0909B6">
      <w:pPr>
        <w:pStyle w:val="3"/>
        <w:keepNext w:val="0"/>
        <w:keepLines w:val="0"/>
        <w:pageBreakBefore w:val="0"/>
        <w:widowControl w:val="0"/>
        <w:kinsoku/>
        <w:wordWrap/>
        <w:overflowPunct/>
        <w:topLinePunct w:val="0"/>
        <w:autoSpaceDE w:val="0"/>
        <w:autoSpaceDN w:val="0"/>
        <w:bidi w:val="0"/>
        <w:adjustRightInd/>
        <w:snapToGrid/>
        <w:spacing w:before="200" w:line="360" w:lineRule="auto"/>
        <w:ind w:left="0" w:firstLine="600" w:firstLineChars="200"/>
        <w:textAlignment w:val="auto"/>
        <w:rPr>
          <w:rFonts w:hint="eastAsia"/>
        </w:rPr>
      </w:pPr>
      <w:r>
        <w:rPr>
          <w:rFonts w:hint="eastAsia"/>
        </w:rPr>
        <w:t>蓄电池放置于蓄电池室内，在事故时用作变电站用电的备用电源，一般不使用。在使用寿命到期更换前及时交由有资质单位处置，站内不暂存。</w:t>
      </w:r>
    </w:p>
    <w:p w14:paraId="0318EED1">
      <w:pPr>
        <w:pStyle w:val="3"/>
        <w:keepNext w:val="0"/>
        <w:keepLines w:val="0"/>
        <w:pageBreakBefore w:val="0"/>
        <w:widowControl w:val="0"/>
        <w:kinsoku/>
        <w:wordWrap/>
        <w:overflowPunct/>
        <w:topLinePunct w:val="0"/>
        <w:autoSpaceDE w:val="0"/>
        <w:autoSpaceDN w:val="0"/>
        <w:bidi w:val="0"/>
        <w:adjustRightInd/>
        <w:snapToGrid/>
        <w:spacing w:before="200" w:line="360" w:lineRule="auto"/>
        <w:ind w:left="0" w:firstLine="600" w:firstLineChars="200"/>
        <w:textAlignment w:val="auto"/>
      </w:pPr>
      <w:r>
        <w:rPr>
          <w:rFonts w:hint="eastAsia"/>
        </w:rPr>
        <w:t>变压器内存有变压器油，用于变压器的绝缘、降温，在事故状态可能发生泄漏。主变压器下方设有卵石层、集油坑，用以收集废变压器油，经地下排油管进入事故油池暂存。事故处理完毕后，及时交由有资质单位处置。</w:t>
      </w:r>
      <w:r>
        <w:t>。</w:t>
      </w:r>
    </w:p>
    <w:p w14:paraId="341F072C">
      <w:pPr>
        <w:pStyle w:val="11"/>
        <w:numPr>
          <w:ilvl w:val="0"/>
          <w:numId w:val="1"/>
        </w:numPr>
        <w:tabs>
          <w:tab w:val="left" w:pos="1457"/>
        </w:tabs>
        <w:spacing w:before="240" w:after="0" w:line="240" w:lineRule="auto"/>
        <w:ind w:left="1456" w:right="0" w:hanging="753"/>
        <w:jc w:val="left"/>
        <w:rPr>
          <w:sz w:val="30"/>
        </w:rPr>
      </w:pPr>
      <w:r>
        <w:rPr>
          <w:sz w:val="30"/>
        </w:rPr>
        <w:t>环境风险调查</w:t>
      </w:r>
    </w:p>
    <w:p w14:paraId="22AD6164">
      <w:pPr>
        <w:pStyle w:val="3"/>
        <w:spacing w:before="239" w:line="388" w:lineRule="auto"/>
        <w:ind w:right="307" w:firstLine="599"/>
        <w:jc w:val="both"/>
      </w:pPr>
      <w:r>
        <w:rPr>
          <w:spacing w:val="5"/>
        </w:rPr>
        <w:t>本工程运行过程中可能引发环境风险的因素主要为变压器油</w:t>
      </w:r>
      <w:r>
        <w:t xml:space="preserve">外泄。站内设有 </w:t>
      </w:r>
      <w:r>
        <w:rPr>
          <w:rFonts w:hint="eastAsia" w:ascii="Times New Roman"/>
          <w:lang w:val="en-US" w:eastAsia="zh-CN"/>
        </w:rPr>
        <w:t>26</w:t>
      </w:r>
      <w:r>
        <w:rPr>
          <w:rFonts w:ascii="Times New Roman" w:eastAsia="Times New Roman"/>
        </w:rPr>
        <w:t>m</w:t>
      </w:r>
      <w:r>
        <w:rPr>
          <w:rFonts w:ascii="Times New Roman" w:eastAsia="Times New Roman"/>
          <w:vertAlign w:val="superscript"/>
        </w:rPr>
        <w:t>3</w:t>
      </w:r>
      <w:r>
        <w:rPr>
          <w:rFonts w:ascii="Times New Roman" w:eastAsia="Times New Roman"/>
          <w:vertAlign w:val="baseline"/>
        </w:rPr>
        <w:t xml:space="preserve"> </w:t>
      </w:r>
      <w:r>
        <w:rPr>
          <w:spacing w:val="-1"/>
          <w:vertAlign w:val="baseline"/>
        </w:rPr>
        <w:t xml:space="preserve">事故油池一座，可确保变压器事故状态下， </w:t>
      </w:r>
      <w:r>
        <w:rPr>
          <w:spacing w:val="-10"/>
          <w:vertAlign w:val="baseline"/>
        </w:rPr>
        <w:t>废变压器油不外泄；升压站运营期产生的危险废物委托有资质的危</w:t>
      </w:r>
      <w:r>
        <w:rPr>
          <w:spacing w:val="-9"/>
          <w:vertAlign w:val="baseline"/>
        </w:rPr>
        <w:t>险废物处理单位进行处臵。建设单位制定了严格的检修操作规程和</w:t>
      </w:r>
      <w:r>
        <w:rPr>
          <w:vertAlign w:val="baseline"/>
        </w:rPr>
        <w:t>环境风险防范应急措施，满足风险防范要求。</w:t>
      </w:r>
    </w:p>
    <w:p w14:paraId="2AF76138">
      <w:pPr>
        <w:pStyle w:val="3"/>
        <w:spacing w:before="7"/>
        <w:ind w:left="704"/>
      </w:pPr>
      <w:r>
        <w:t>本工程自运行以来，未发生过环境风险事故。</w:t>
      </w:r>
    </w:p>
    <w:p w14:paraId="25D9B657">
      <w:pPr>
        <w:pStyle w:val="3"/>
        <w:spacing w:before="2"/>
        <w:ind w:left="0"/>
        <w:rPr>
          <w:sz w:val="23"/>
        </w:rPr>
      </w:pPr>
    </w:p>
    <w:p w14:paraId="167EB2EA">
      <w:pPr>
        <w:pStyle w:val="2"/>
      </w:pPr>
      <w:r>
        <w:t>五、验收结论</w:t>
      </w:r>
    </w:p>
    <w:p w14:paraId="1213A5AF">
      <w:pPr>
        <w:pStyle w:val="3"/>
        <w:spacing w:before="172" w:line="388" w:lineRule="auto"/>
        <w:ind w:right="306" w:firstLine="599"/>
        <w:jc w:val="both"/>
      </w:pPr>
      <w:r>
        <w:rPr>
          <w:spacing w:val="-10"/>
        </w:rPr>
        <w:t>本工程在建设过程中，采取了有效的污染防治措施和生态保护</w:t>
      </w:r>
      <w:r>
        <w:rPr>
          <w:spacing w:val="-11"/>
        </w:rPr>
        <w:t>措施；根据调查结果，项目环保设施均能够正常运行；由监测结果</w:t>
      </w:r>
      <w:r>
        <w:t>可知，各项环境影响因子也均能满足相关标准要求。</w:t>
      </w:r>
    </w:p>
    <w:p w14:paraId="4F47A607">
      <w:pPr>
        <w:pStyle w:val="3"/>
        <w:spacing w:before="4" w:line="388" w:lineRule="auto"/>
        <w:ind w:right="304" w:firstLine="599"/>
        <w:jc w:val="both"/>
      </w:pPr>
      <w:r>
        <w:rPr>
          <w:spacing w:val="-16"/>
        </w:rPr>
        <w:t>该项目符合《建设项目环境保护条例》</w:t>
      </w:r>
      <w:r>
        <w:rPr>
          <w:spacing w:val="-22"/>
        </w:rPr>
        <w:t>、《建设项目竣工环境保</w:t>
      </w:r>
      <w:r>
        <w:rPr>
          <w:spacing w:val="-10"/>
        </w:rPr>
        <w:t>护验收暂行办法》的有关规定，验收组同意该项目通过竣工环境保</w:t>
      </w:r>
      <w:r>
        <w:t>护验收。</w:t>
      </w:r>
    </w:p>
    <w:p w14:paraId="3B576208">
      <w:pPr>
        <w:pStyle w:val="3"/>
        <w:spacing w:before="0"/>
        <w:ind w:left="0"/>
      </w:pPr>
    </w:p>
    <w:p w14:paraId="63944597">
      <w:pPr>
        <w:pStyle w:val="3"/>
        <w:ind w:left="5795"/>
        <w:sectPr>
          <w:pgSz w:w="11910" w:h="16840"/>
          <w:pgMar w:top="1540" w:right="1340" w:bottom="1180" w:left="1540" w:header="0" w:footer="992" w:gutter="0"/>
          <w:cols w:space="720" w:num="1"/>
        </w:sectPr>
      </w:pPr>
      <w:r>
        <w:rPr>
          <w:rFonts w:ascii="Times New Roman" w:eastAsia="Times New Roman"/>
        </w:rPr>
        <w:t>202</w:t>
      </w:r>
      <w:r>
        <w:rPr>
          <w:rFonts w:hint="eastAsia" w:ascii="Times New Roman"/>
          <w:lang w:val="en-US" w:eastAsia="zh-CN"/>
        </w:rPr>
        <w:t>4</w:t>
      </w:r>
      <w:r>
        <w:t xml:space="preserve">年 </w:t>
      </w:r>
      <w:r>
        <w:rPr>
          <w:rFonts w:hint="eastAsia" w:ascii="Times New Roman"/>
          <w:lang w:val="en-US" w:eastAsia="zh-CN"/>
        </w:rPr>
        <w:t>10</w:t>
      </w:r>
      <w:r>
        <w:t xml:space="preserve">月 </w:t>
      </w:r>
      <w:r>
        <w:rPr>
          <w:rFonts w:hint="eastAsia" w:ascii="Times New Roman"/>
          <w:lang w:val="en-US" w:eastAsia="zh-CN"/>
        </w:rPr>
        <w:t>10</w:t>
      </w:r>
      <w:r>
        <w:rPr>
          <w:rFonts w:ascii="Times New Roman" w:eastAsia="Times New Roman"/>
        </w:rPr>
        <w:t xml:space="preserve"> </w:t>
      </w:r>
      <w:r>
        <w:t>日</w:t>
      </w:r>
    </w:p>
    <w:p w14:paraId="1B613742">
      <w:pPr>
        <w:autoSpaceDE w:val="0"/>
        <w:autoSpaceDN w:val="0"/>
        <w:spacing w:line="360" w:lineRule="auto"/>
        <w:rPr>
          <w:rFonts w:ascii="Times New Roman" w:hAnsi="Times New Roman" w:eastAsia="宋体"/>
          <w:sz w:val="21"/>
          <w:szCs w:val="21"/>
        </w:rPr>
      </w:pPr>
      <w:r>
        <w:rPr>
          <w:rFonts w:hint="eastAsia" w:ascii="Times New Roman" w:hAnsi="Times New Roman" w:eastAsia="宋体"/>
          <w:sz w:val="21"/>
          <w:szCs w:val="21"/>
        </w:rPr>
        <w:t>附</w:t>
      </w:r>
      <w:r>
        <w:rPr>
          <w:rFonts w:ascii="Times New Roman" w:hAnsi="Times New Roman" w:eastAsia="宋体"/>
          <w:sz w:val="21"/>
          <w:szCs w:val="21"/>
        </w:rPr>
        <w:t>：</w:t>
      </w:r>
      <w:r>
        <w:rPr>
          <w:rFonts w:hint="eastAsia" w:ascii="Times New Roman" w:hAnsi="Times New Roman" w:eastAsia="宋体"/>
          <w:sz w:val="21"/>
          <w:szCs w:val="21"/>
        </w:rPr>
        <w:t>台山鑫昊150MW渔光互补光伏发电项目配套升压站及输电线工程</w:t>
      </w:r>
      <w:r>
        <w:rPr>
          <w:rFonts w:ascii="Times New Roman" w:hAnsi="Times New Roman" w:eastAsia="宋体"/>
          <w:sz w:val="21"/>
          <w:szCs w:val="21"/>
        </w:rPr>
        <w:t>竣工环境保护验收工作组成员名单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559"/>
        <w:gridCol w:w="3827"/>
        <w:gridCol w:w="1559"/>
        <w:gridCol w:w="1560"/>
        <w:gridCol w:w="1559"/>
        <w:gridCol w:w="3009"/>
      </w:tblGrid>
      <w:tr w14:paraId="2513A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059D5C2D">
            <w:pPr>
              <w:spacing w:after="0"/>
              <w:jc w:val="center"/>
              <w:rPr>
                <w:rFonts w:ascii="Times New Roman" w:hAnsi="Times New Roman"/>
                <w:sz w:val="21"/>
                <w:szCs w:val="21"/>
              </w:rPr>
            </w:pPr>
            <w:r>
              <w:rPr>
                <w:rFonts w:ascii="Times New Roman"/>
                <w:sz w:val="21"/>
                <w:szCs w:val="21"/>
              </w:rPr>
              <w:t>序号</w:t>
            </w:r>
          </w:p>
        </w:tc>
        <w:tc>
          <w:tcPr>
            <w:tcW w:w="1559" w:type="dxa"/>
            <w:noWrap w:val="0"/>
            <w:vAlign w:val="center"/>
          </w:tcPr>
          <w:p w14:paraId="1CA1CFFB">
            <w:pPr>
              <w:spacing w:after="0"/>
              <w:jc w:val="center"/>
              <w:rPr>
                <w:rFonts w:ascii="Times New Roman" w:hAnsi="Times New Roman"/>
                <w:sz w:val="21"/>
                <w:szCs w:val="21"/>
              </w:rPr>
            </w:pPr>
            <w:r>
              <w:rPr>
                <w:rFonts w:ascii="Times New Roman"/>
                <w:sz w:val="21"/>
                <w:szCs w:val="21"/>
              </w:rPr>
              <w:t>类别</w:t>
            </w:r>
          </w:p>
        </w:tc>
        <w:tc>
          <w:tcPr>
            <w:tcW w:w="3827" w:type="dxa"/>
            <w:noWrap w:val="0"/>
            <w:vAlign w:val="center"/>
          </w:tcPr>
          <w:p w14:paraId="057BD986">
            <w:pPr>
              <w:spacing w:after="0"/>
              <w:jc w:val="center"/>
              <w:rPr>
                <w:rFonts w:ascii="Times New Roman" w:hAnsi="Times New Roman"/>
                <w:sz w:val="21"/>
                <w:szCs w:val="21"/>
              </w:rPr>
            </w:pPr>
            <w:r>
              <w:rPr>
                <w:rFonts w:ascii="Times New Roman"/>
                <w:sz w:val="21"/>
                <w:szCs w:val="21"/>
              </w:rPr>
              <w:t>单位名称</w:t>
            </w:r>
          </w:p>
        </w:tc>
        <w:tc>
          <w:tcPr>
            <w:tcW w:w="1559" w:type="dxa"/>
            <w:noWrap w:val="0"/>
            <w:vAlign w:val="center"/>
          </w:tcPr>
          <w:p w14:paraId="207E746A">
            <w:pPr>
              <w:spacing w:after="0"/>
              <w:jc w:val="center"/>
              <w:rPr>
                <w:rFonts w:ascii="Times New Roman" w:hAnsi="Times New Roman"/>
                <w:sz w:val="21"/>
                <w:szCs w:val="21"/>
              </w:rPr>
            </w:pPr>
            <w:r>
              <w:rPr>
                <w:rFonts w:hint="eastAsia" w:ascii="Times New Roman"/>
                <w:sz w:val="21"/>
                <w:szCs w:val="21"/>
              </w:rPr>
              <w:t>签</w:t>
            </w:r>
            <w:r>
              <w:rPr>
                <w:rFonts w:ascii="Times New Roman"/>
                <w:sz w:val="21"/>
                <w:szCs w:val="21"/>
              </w:rPr>
              <w:t>名</w:t>
            </w:r>
          </w:p>
        </w:tc>
        <w:tc>
          <w:tcPr>
            <w:tcW w:w="1560" w:type="dxa"/>
            <w:noWrap w:val="0"/>
            <w:vAlign w:val="center"/>
          </w:tcPr>
          <w:p w14:paraId="069DC17E">
            <w:pPr>
              <w:spacing w:after="0"/>
              <w:jc w:val="center"/>
              <w:rPr>
                <w:rFonts w:ascii="Times New Roman" w:hAnsi="Times New Roman"/>
                <w:sz w:val="21"/>
                <w:szCs w:val="21"/>
              </w:rPr>
            </w:pPr>
            <w:r>
              <w:rPr>
                <w:rFonts w:ascii="Times New Roman"/>
                <w:sz w:val="21"/>
                <w:szCs w:val="21"/>
              </w:rPr>
              <w:t>职务</w:t>
            </w:r>
            <w:r>
              <w:rPr>
                <w:rFonts w:ascii="Times New Roman" w:hAnsi="Times New Roman"/>
                <w:sz w:val="21"/>
                <w:szCs w:val="21"/>
              </w:rPr>
              <w:t>/</w:t>
            </w:r>
            <w:r>
              <w:rPr>
                <w:rFonts w:ascii="Times New Roman"/>
                <w:sz w:val="21"/>
                <w:szCs w:val="21"/>
              </w:rPr>
              <w:t>职称</w:t>
            </w:r>
          </w:p>
        </w:tc>
        <w:tc>
          <w:tcPr>
            <w:tcW w:w="1559" w:type="dxa"/>
            <w:noWrap w:val="0"/>
            <w:vAlign w:val="center"/>
          </w:tcPr>
          <w:p w14:paraId="3412B2A8">
            <w:pPr>
              <w:spacing w:after="0"/>
              <w:jc w:val="center"/>
              <w:rPr>
                <w:rFonts w:ascii="Times New Roman" w:hAnsi="Times New Roman"/>
                <w:sz w:val="21"/>
                <w:szCs w:val="21"/>
              </w:rPr>
            </w:pPr>
            <w:r>
              <w:rPr>
                <w:rFonts w:ascii="Times New Roman"/>
                <w:sz w:val="21"/>
                <w:szCs w:val="21"/>
              </w:rPr>
              <w:t>联系方式</w:t>
            </w:r>
          </w:p>
        </w:tc>
        <w:tc>
          <w:tcPr>
            <w:tcW w:w="3009" w:type="dxa"/>
            <w:noWrap w:val="0"/>
            <w:vAlign w:val="center"/>
          </w:tcPr>
          <w:p w14:paraId="49202636">
            <w:pPr>
              <w:spacing w:after="0"/>
              <w:jc w:val="center"/>
              <w:rPr>
                <w:rFonts w:ascii="Times New Roman" w:hAnsi="Times New Roman"/>
                <w:sz w:val="21"/>
                <w:szCs w:val="21"/>
              </w:rPr>
            </w:pPr>
            <w:r>
              <w:rPr>
                <w:rFonts w:hint="eastAsia" w:ascii="Times New Roman"/>
                <w:sz w:val="21"/>
                <w:szCs w:val="21"/>
              </w:rPr>
              <w:t>身份证号码</w:t>
            </w:r>
          </w:p>
        </w:tc>
      </w:tr>
      <w:tr w14:paraId="4917E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01" w:type="dxa"/>
            <w:noWrap w:val="0"/>
            <w:vAlign w:val="center"/>
          </w:tcPr>
          <w:p w14:paraId="558E57AF">
            <w:pPr>
              <w:spacing w:after="0"/>
              <w:jc w:val="center"/>
              <w:rPr>
                <w:rFonts w:ascii="Times New Roman" w:hAnsi="Times New Roman"/>
                <w:sz w:val="21"/>
                <w:szCs w:val="21"/>
              </w:rPr>
            </w:pPr>
            <w:r>
              <w:rPr>
                <w:rFonts w:hint="eastAsia" w:ascii="Times New Roman" w:hAnsi="Times New Roman"/>
                <w:sz w:val="21"/>
                <w:szCs w:val="21"/>
              </w:rPr>
              <w:t>1</w:t>
            </w:r>
          </w:p>
        </w:tc>
        <w:tc>
          <w:tcPr>
            <w:tcW w:w="1559" w:type="dxa"/>
            <w:noWrap w:val="0"/>
            <w:vAlign w:val="center"/>
          </w:tcPr>
          <w:p w14:paraId="4030B1D9">
            <w:pPr>
              <w:spacing w:after="0"/>
              <w:ind w:left="0" w:leftChars="0" w:right="0" w:rightChars="0"/>
              <w:jc w:val="center"/>
              <w:rPr>
                <w:rFonts w:ascii="Times New Roman" w:hAnsi="Times New Roman"/>
                <w:sz w:val="21"/>
                <w:szCs w:val="21"/>
              </w:rPr>
            </w:pPr>
            <w:r>
              <w:rPr>
                <w:rFonts w:hint="eastAsia" w:ascii="Times New Roman" w:hAnsi="Times New Roman"/>
                <w:sz w:val="21"/>
                <w:szCs w:val="21"/>
              </w:rPr>
              <w:t>建设单位</w:t>
            </w:r>
          </w:p>
        </w:tc>
        <w:tc>
          <w:tcPr>
            <w:tcW w:w="3827" w:type="dxa"/>
            <w:noWrap w:val="0"/>
            <w:vAlign w:val="center"/>
          </w:tcPr>
          <w:p w14:paraId="0705A5F4">
            <w:pPr>
              <w:spacing w:after="0"/>
              <w:ind w:left="0" w:leftChars="0" w:right="0" w:rightChars="0"/>
              <w:jc w:val="center"/>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台山市鑫昊新能源有限公司</w:t>
            </w:r>
          </w:p>
        </w:tc>
        <w:tc>
          <w:tcPr>
            <w:tcW w:w="1559" w:type="dxa"/>
            <w:noWrap w:val="0"/>
            <w:vAlign w:val="center"/>
          </w:tcPr>
          <w:p w14:paraId="1FE3A335">
            <w:pPr>
              <w:spacing w:after="0"/>
              <w:jc w:val="center"/>
              <w:rPr>
                <w:rFonts w:ascii="Times New Roman" w:hAnsi="Times New Roman"/>
                <w:sz w:val="21"/>
                <w:szCs w:val="21"/>
              </w:rPr>
            </w:pPr>
          </w:p>
        </w:tc>
        <w:tc>
          <w:tcPr>
            <w:tcW w:w="1560" w:type="dxa"/>
            <w:noWrap w:val="0"/>
            <w:vAlign w:val="center"/>
          </w:tcPr>
          <w:p w14:paraId="23A21319">
            <w:pPr>
              <w:spacing w:after="0"/>
              <w:jc w:val="center"/>
              <w:rPr>
                <w:rFonts w:ascii="Times New Roman" w:hAnsi="Times New Roman"/>
                <w:sz w:val="21"/>
                <w:szCs w:val="21"/>
              </w:rPr>
            </w:pPr>
          </w:p>
        </w:tc>
        <w:tc>
          <w:tcPr>
            <w:tcW w:w="1559" w:type="dxa"/>
            <w:noWrap w:val="0"/>
            <w:vAlign w:val="center"/>
          </w:tcPr>
          <w:p w14:paraId="0D05CCDF">
            <w:pPr>
              <w:spacing w:after="0"/>
              <w:jc w:val="center"/>
              <w:rPr>
                <w:rFonts w:ascii="Times New Roman" w:hAnsi="Times New Roman"/>
                <w:sz w:val="21"/>
                <w:szCs w:val="21"/>
              </w:rPr>
            </w:pPr>
          </w:p>
        </w:tc>
        <w:tc>
          <w:tcPr>
            <w:tcW w:w="3009" w:type="dxa"/>
            <w:noWrap w:val="0"/>
            <w:vAlign w:val="center"/>
          </w:tcPr>
          <w:p w14:paraId="35413A94">
            <w:pPr>
              <w:spacing w:after="0"/>
              <w:jc w:val="center"/>
              <w:rPr>
                <w:rFonts w:ascii="Times New Roman" w:hAnsi="Times New Roman"/>
                <w:sz w:val="21"/>
                <w:szCs w:val="21"/>
              </w:rPr>
            </w:pPr>
          </w:p>
        </w:tc>
      </w:tr>
      <w:tr w14:paraId="35B48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54F2425A">
            <w:pPr>
              <w:spacing w:after="0"/>
              <w:jc w:val="center"/>
              <w:rPr>
                <w:rFonts w:ascii="Times New Roman" w:hAnsi="Times New Roman"/>
                <w:sz w:val="21"/>
                <w:szCs w:val="21"/>
              </w:rPr>
            </w:pPr>
            <w:r>
              <w:rPr>
                <w:rFonts w:hint="eastAsia" w:ascii="Times New Roman" w:hAnsi="Times New Roman"/>
                <w:sz w:val="21"/>
                <w:szCs w:val="21"/>
              </w:rPr>
              <w:t>2</w:t>
            </w:r>
          </w:p>
        </w:tc>
        <w:tc>
          <w:tcPr>
            <w:tcW w:w="1559" w:type="dxa"/>
            <w:noWrap w:val="0"/>
            <w:vAlign w:val="center"/>
          </w:tcPr>
          <w:p w14:paraId="44E0F72B">
            <w:pPr>
              <w:spacing w:after="0"/>
              <w:ind w:left="0" w:leftChars="0" w:right="0" w:rightChars="0"/>
              <w:jc w:val="center"/>
              <w:rPr>
                <w:rFonts w:ascii="Times New Roman" w:hAnsi="Times New Roman"/>
                <w:sz w:val="21"/>
                <w:szCs w:val="21"/>
              </w:rPr>
            </w:pPr>
            <w:r>
              <w:rPr>
                <w:rFonts w:hint="eastAsia" w:ascii="Times New Roman" w:hAnsi="Times New Roman"/>
                <w:sz w:val="21"/>
                <w:szCs w:val="21"/>
              </w:rPr>
              <w:t>建设单位</w:t>
            </w:r>
          </w:p>
        </w:tc>
        <w:tc>
          <w:tcPr>
            <w:tcW w:w="3827" w:type="dxa"/>
            <w:noWrap w:val="0"/>
            <w:vAlign w:val="center"/>
          </w:tcPr>
          <w:p w14:paraId="4ECC0B69">
            <w:pPr>
              <w:spacing w:after="0"/>
              <w:ind w:left="0" w:leftChars="0" w:right="0" w:rightChars="0"/>
              <w:jc w:val="center"/>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台山市鑫昊新能源有限公司</w:t>
            </w:r>
          </w:p>
        </w:tc>
        <w:tc>
          <w:tcPr>
            <w:tcW w:w="1559" w:type="dxa"/>
            <w:noWrap w:val="0"/>
            <w:vAlign w:val="center"/>
          </w:tcPr>
          <w:p w14:paraId="458F41DE">
            <w:pPr>
              <w:spacing w:after="0"/>
              <w:jc w:val="center"/>
              <w:rPr>
                <w:rFonts w:ascii="Times New Roman" w:hAnsi="Times New Roman"/>
                <w:sz w:val="21"/>
                <w:szCs w:val="21"/>
              </w:rPr>
            </w:pPr>
          </w:p>
        </w:tc>
        <w:tc>
          <w:tcPr>
            <w:tcW w:w="1560" w:type="dxa"/>
            <w:noWrap w:val="0"/>
            <w:vAlign w:val="center"/>
          </w:tcPr>
          <w:p w14:paraId="2C0D5A5C">
            <w:pPr>
              <w:spacing w:after="0"/>
              <w:jc w:val="center"/>
              <w:rPr>
                <w:rFonts w:ascii="Times New Roman" w:hAnsi="Times New Roman"/>
                <w:sz w:val="21"/>
                <w:szCs w:val="21"/>
              </w:rPr>
            </w:pPr>
          </w:p>
        </w:tc>
        <w:tc>
          <w:tcPr>
            <w:tcW w:w="1559" w:type="dxa"/>
            <w:noWrap w:val="0"/>
            <w:vAlign w:val="center"/>
          </w:tcPr>
          <w:p w14:paraId="368A2843">
            <w:pPr>
              <w:spacing w:after="0"/>
              <w:jc w:val="center"/>
              <w:rPr>
                <w:rFonts w:ascii="Times New Roman" w:hAnsi="Times New Roman"/>
                <w:sz w:val="21"/>
                <w:szCs w:val="21"/>
              </w:rPr>
            </w:pPr>
          </w:p>
        </w:tc>
        <w:tc>
          <w:tcPr>
            <w:tcW w:w="3009" w:type="dxa"/>
            <w:noWrap w:val="0"/>
            <w:vAlign w:val="center"/>
          </w:tcPr>
          <w:p w14:paraId="41E3BD81">
            <w:pPr>
              <w:spacing w:after="0"/>
              <w:jc w:val="center"/>
              <w:rPr>
                <w:rFonts w:ascii="Times New Roman" w:hAnsi="Times New Roman"/>
                <w:sz w:val="21"/>
                <w:szCs w:val="21"/>
              </w:rPr>
            </w:pPr>
          </w:p>
        </w:tc>
      </w:tr>
      <w:tr w14:paraId="4C161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4424C1B4">
            <w:pPr>
              <w:spacing w:after="0"/>
              <w:jc w:val="center"/>
              <w:rPr>
                <w:rFonts w:ascii="Times New Roman" w:hAnsi="Times New Roman"/>
                <w:sz w:val="21"/>
                <w:szCs w:val="21"/>
              </w:rPr>
            </w:pPr>
            <w:r>
              <w:rPr>
                <w:rFonts w:hint="eastAsia" w:ascii="Times New Roman" w:hAnsi="Times New Roman"/>
                <w:sz w:val="21"/>
                <w:szCs w:val="21"/>
              </w:rPr>
              <w:t>3</w:t>
            </w:r>
          </w:p>
        </w:tc>
        <w:tc>
          <w:tcPr>
            <w:tcW w:w="1559" w:type="dxa"/>
            <w:noWrap w:val="0"/>
            <w:vAlign w:val="center"/>
          </w:tcPr>
          <w:p w14:paraId="24A09CA4">
            <w:pPr>
              <w:spacing w:after="0"/>
              <w:ind w:left="0" w:leftChars="0" w:right="0" w:rightChars="0"/>
              <w:jc w:val="center"/>
              <w:rPr>
                <w:rFonts w:ascii="Times New Roman" w:hAnsi="Times New Roman"/>
                <w:sz w:val="21"/>
                <w:szCs w:val="21"/>
              </w:rPr>
            </w:pPr>
            <w:r>
              <w:rPr>
                <w:rFonts w:hint="eastAsia" w:ascii="Times New Roman" w:hAnsi="Times New Roman"/>
                <w:sz w:val="21"/>
                <w:szCs w:val="21"/>
              </w:rPr>
              <w:t>建设单位</w:t>
            </w:r>
          </w:p>
        </w:tc>
        <w:tc>
          <w:tcPr>
            <w:tcW w:w="3827" w:type="dxa"/>
            <w:noWrap w:val="0"/>
            <w:vAlign w:val="center"/>
          </w:tcPr>
          <w:p w14:paraId="529E3372">
            <w:pPr>
              <w:spacing w:after="0"/>
              <w:ind w:left="0" w:leftChars="0" w:right="0" w:rightChars="0"/>
              <w:jc w:val="center"/>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台山市鑫昊新能源有限公司</w:t>
            </w:r>
          </w:p>
        </w:tc>
        <w:tc>
          <w:tcPr>
            <w:tcW w:w="1559" w:type="dxa"/>
            <w:noWrap w:val="0"/>
            <w:vAlign w:val="center"/>
          </w:tcPr>
          <w:p w14:paraId="304852F0">
            <w:pPr>
              <w:spacing w:after="0"/>
              <w:jc w:val="center"/>
              <w:rPr>
                <w:rFonts w:ascii="Times New Roman" w:hAnsi="Times New Roman"/>
                <w:sz w:val="21"/>
                <w:szCs w:val="21"/>
              </w:rPr>
            </w:pPr>
          </w:p>
        </w:tc>
        <w:tc>
          <w:tcPr>
            <w:tcW w:w="1560" w:type="dxa"/>
            <w:noWrap w:val="0"/>
            <w:vAlign w:val="center"/>
          </w:tcPr>
          <w:p w14:paraId="2B61E28D">
            <w:pPr>
              <w:spacing w:after="0"/>
              <w:jc w:val="center"/>
              <w:rPr>
                <w:rFonts w:ascii="Times New Roman" w:hAnsi="Times New Roman"/>
                <w:sz w:val="21"/>
                <w:szCs w:val="21"/>
              </w:rPr>
            </w:pPr>
          </w:p>
        </w:tc>
        <w:tc>
          <w:tcPr>
            <w:tcW w:w="1559" w:type="dxa"/>
            <w:noWrap w:val="0"/>
            <w:vAlign w:val="center"/>
          </w:tcPr>
          <w:p w14:paraId="7BBDDFEF">
            <w:pPr>
              <w:spacing w:after="0"/>
              <w:jc w:val="center"/>
              <w:rPr>
                <w:rFonts w:ascii="Times New Roman" w:hAnsi="Times New Roman"/>
                <w:sz w:val="21"/>
                <w:szCs w:val="21"/>
              </w:rPr>
            </w:pPr>
          </w:p>
        </w:tc>
        <w:tc>
          <w:tcPr>
            <w:tcW w:w="3009" w:type="dxa"/>
            <w:noWrap w:val="0"/>
            <w:vAlign w:val="center"/>
          </w:tcPr>
          <w:p w14:paraId="7C7B3D42">
            <w:pPr>
              <w:spacing w:after="0"/>
              <w:jc w:val="center"/>
              <w:rPr>
                <w:rFonts w:ascii="Times New Roman" w:hAnsi="Times New Roman"/>
                <w:sz w:val="21"/>
                <w:szCs w:val="21"/>
              </w:rPr>
            </w:pPr>
          </w:p>
        </w:tc>
      </w:tr>
      <w:tr w14:paraId="6B6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7E0A64C6">
            <w:pPr>
              <w:spacing w:after="0"/>
              <w:jc w:val="center"/>
              <w:rPr>
                <w:rFonts w:ascii="Times New Roman" w:hAnsi="Times New Roman"/>
                <w:sz w:val="21"/>
                <w:szCs w:val="21"/>
              </w:rPr>
            </w:pPr>
            <w:r>
              <w:rPr>
                <w:rFonts w:hint="eastAsia" w:ascii="Times New Roman" w:hAnsi="Times New Roman"/>
                <w:sz w:val="21"/>
                <w:szCs w:val="21"/>
              </w:rPr>
              <w:t>4</w:t>
            </w:r>
          </w:p>
        </w:tc>
        <w:tc>
          <w:tcPr>
            <w:tcW w:w="1559" w:type="dxa"/>
            <w:noWrap w:val="0"/>
            <w:vAlign w:val="center"/>
          </w:tcPr>
          <w:p w14:paraId="3170CB22">
            <w:pPr>
              <w:spacing w:after="0"/>
              <w:ind w:left="0" w:leftChars="0" w:right="0" w:rightChars="0"/>
              <w:jc w:val="center"/>
              <w:rPr>
                <w:rFonts w:ascii="Times New Roman" w:hAnsi="Times New Roman"/>
                <w:sz w:val="21"/>
                <w:szCs w:val="21"/>
              </w:rPr>
            </w:pPr>
            <w:r>
              <w:rPr>
                <w:rFonts w:hint="eastAsia" w:ascii="Times New Roman" w:hAnsi="Times New Roman"/>
                <w:sz w:val="21"/>
                <w:szCs w:val="21"/>
              </w:rPr>
              <w:t>监测单位</w:t>
            </w:r>
          </w:p>
        </w:tc>
        <w:tc>
          <w:tcPr>
            <w:tcW w:w="3827" w:type="dxa"/>
            <w:noWrap w:val="0"/>
            <w:vAlign w:val="center"/>
          </w:tcPr>
          <w:p w14:paraId="0F576937">
            <w:pPr>
              <w:spacing w:after="0"/>
              <w:ind w:left="0" w:leftChars="0" w:right="0"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广东</w:t>
            </w:r>
            <w:r>
              <w:rPr>
                <w:rFonts w:hint="eastAsia" w:cs="Times New Roman"/>
                <w:sz w:val="21"/>
                <w:szCs w:val="21"/>
                <w:lang w:val="en-US" w:eastAsia="zh-CN"/>
              </w:rPr>
              <w:t>乾达检测技术</w:t>
            </w:r>
            <w:r>
              <w:rPr>
                <w:rFonts w:hint="eastAsia" w:ascii="Times New Roman" w:hAnsi="Times New Roman" w:eastAsia="宋体" w:cs="Times New Roman"/>
                <w:sz w:val="21"/>
                <w:szCs w:val="21"/>
                <w:lang w:val="en-US" w:eastAsia="zh-CN"/>
              </w:rPr>
              <w:t>有</w:t>
            </w:r>
            <w:r>
              <w:rPr>
                <w:rFonts w:hint="eastAsia" w:ascii="Times New Roman" w:hAnsi="Times New Roman" w:eastAsia="宋体" w:cs="Times New Roman"/>
                <w:sz w:val="21"/>
                <w:szCs w:val="21"/>
              </w:rPr>
              <w:t>限公司</w:t>
            </w:r>
          </w:p>
        </w:tc>
        <w:tc>
          <w:tcPr>
            <w:tcW w:w="1559" w:type="dxa"/>
            <w:noWrap w:val="0"/>
            <w:vAlign w:val="center"/>
          </w:tcPr>
          <w:p w14:paraId="59FA9E85">
            <w:pPr>
              <w:spacing w:after="0"/>
              <w:jc w:val="center"/>
              <w:rPr>
                <w:rFonts w:ascii="Times New Roman" w:hAnsi="Times New Roman"/>
                <w:sz w:val="21"/>
                <w:szCs w:val="21"/>
              </w:rPr>
            </w:pPr>
          </w:p>
        </w:tc>
        <w:tc>
          <w:tcPr>
            <w:tcW w:w="1560" w:type="dxa"/>
            <w:noWrap w:val="0"/>
            <w:vAlign w:val="center"/>
          </w:tcPr>
          <w:p w14:paraId="0FB89B7E">
            <w:pPr>
              <w:spacing w:after="0"/>
              <w:jc w:val="center"/>
              <w:rPr>
                <w:rFonts w:ascii="Times New Roman" w:hAnsi="Times New Roman"/>
                <w:sz w:val="21"/>
                <w:szCs w:val="21"/>
              </w:rPr>
            </w:pPr>
          </w:p>
        </w:tc>
        <w:tc>
          <w:tcPr>
            <w:tcW w:w="1559" w:type="dxa"/>
            <w:noWrap w:val="0"/>
            <w:vAlign w:val="center"/>
          </w:tcPr>
          <w:p w14:paraId="3AB7D04D">
            <w:pPr>
              <w:spacing w:after="0"/>
              <w:jc w:val="center"/>
              <w:rPr>
                <w:rFonts w:ascii="Times New Roman" w:hAnsi="Times New Roman"/>
                <w:sz w:val="21"/>
                <w:szCs w:val="21"/>
              </w:rPr>
            </w:pPr>
          </w:p>
        </w:tc>
        <w:tc>
          <w:tcPr>
            <w:tcW w:w="3009" w:type="dxa"/>
            <w:noWrap w:val="0"/>
            <w:vAlign w:val="center"/>
          </w:tcPr>
          <w:p w14:paraId="2888B444">
            <w:pPr>
              <w:spacing w:after="0"/>
              <w:jc w:val="center"/>
              <w:rPr>
                <w:rFonts w:ascii="Times New Roman" w:hAnsi="Times New Roman"/>
                <w:sz w:val="21"/>
                <w:szCs w:val="21"/>
              </w:rPr>
            </w:pPr>
          </w:p>
        </w:tc>
      </w:tr>
      <w:tr w14:paraId="049B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38E4A36C">
            <w:pPr>
              <w:spacing w:after="0"/>
              <w:jc w:val="center"/>
              <w:rPr>
                <w:rFonts w:ascii="Times New Roman" w:hAnsi="Times New Roman"/>
                <w:sz w:val="21"/>
                <w:szCs w:val="21"/>
              </w:rPr>
            </w:pPr>
            <w:r>
              <w:rPr>
                <w:rFonts w:hint="eastAsia" w:ascii="Times New Roman" w:hAnsi="Times New Roman"/>
                <w:sz w:val="21"/>
                <w:szCs w:val="21"/>
              </w:rPr>
              <w:t>5</w:t>
            </w:r>
          </w:p>
        </w:tc>
        <w:tc>
          <w:tcPr>
            <w:tcW w:w="1559" w:type="dxa"/>
            <w:noWrap w:val="0"/>
            <w:vAlign w:val="center"/>
          </w:tcPr>
          <w:p w14:paraId="775D5D84">
            <w:pPr>
              <w:spacing w:after="0"/>
              <w:ind w:left="0" w:leftChars="0" w:right="0" w:rightChars="0"/>
              <w:jc w:val="center"/>
              <w:rPr>
                <w:rFonts w:ascii="Times New Roman"/>
                <w:sz w:val="21"/>
                <w:szCs w:val="21"/>
              </w:rPr>
            </w:pPr>
            <w:r>
              <w:rPr>
                <w:rFonts w:hint="eastAsia" w:ascii="Times New Roman"/>
                <w:sz w:val="21"/>
                <w:szCs w:val="21"/>
              </w:rPr>
              <w:t>验收</w:t>
            </w:r>
            <w:r>
              <w:rPr>
                <w:rFonts w:hint="eastAsia"/>
                <w:sz w:val="21"/>
                <w:szCs w:val="21"/>
                <w:lang w:val="en-US" w:eastAsia="zh-CN"/>
              </w:rPr>
              <w:t>调查</w:t>
            </w:r>
            <w:r>
              <w:rPr>
                <w:rFonts w:hint="eastAsia" w:ascii="Times New Roman"/>
                <w:sz w:val="21"/>
                <w:szCs w:val="21"/>
                <w:lang w:val="en-US" w:eastAsia="zh-CN"/>
              </w:rPr>
              <w:t>报告编制</w:t>
            </w:r>
            <w:r>
              <w:rPr>
                <w:rFonts w:hint="eastAsia" w:ascii="Times New Roman"/>
                <w:sz w:val="21"/>
                <w:szCs w:val="21"/>
              </w:rPr>
              <w:t>单位</w:t>
            </w:r>
          </w:p>
        </w:tc>
        <w:tc>
          <w:tcPr>
            <w:tcW w:w="3827" w:type="dxa"/>
            <w:noWrap w:val="0"/>
            <w:vAlign w:val="center"/>
          </w:tcPr>
          <w:p w14:paraId="5AED1DF6">
            <w:pPr>
              <w:spacing w:after="0"/>
              <w:ind w:left="0" w:leftChars="0" w:right="0" w:rightChars="0"/>
              <w:jc w:val="center"/>
              <w:rPr>
                <w:rFonts w:hint="eastAsia" w:ascii="Times New Roman" w:hAnsi="Times New Roman" w:eastAsia="宋体" w:cs="Times New Roman"/>
                <w:sz w:val="21"/>
                <w:szCs w:val="21"/>
              </w:rPr>
            </w:pPr>
            <w:r>
              <w:rPr>
                <w:rFonts w:hint="eastAsia" w:ascii="Times New Roman" w:hAnsi="Times New Roman" w:eastAsia="宋体" w:cs="Times New Roman"/>
                <w:color w:val="000000"/>
                <w:sz w:val="21"/>
                <w:szCs w:val="21"/>
              </w:rPr>
              <w:t>江门市泰邦环保有限公司</w:t>
            </w:r>
          </w:p>
        </w:tc>
        <w:tc>
          <w:tcPr>
            <w:tcW w:w="1559" w:type="dxa"/>
            <w:noWrap w:val="0"/>
            <w:vAlign w:val="center"/>
          </w:tcPr>
          <w:p w14:paraId="738500B9">
            <w:pPr>
              <w:spacing w:after="0"/>
              <w:jc w:val="center"/>
              <w:rPr>
                <w:rFonts w:ascii="Times New Roman" w:hAnsi="Times New Roman"/>
                <w:sz w:val="21"/>
                <w:szCs w:val="21"/>
              </w:rPr>
            </w:pPr>
          </w:p>
        </w:tc>
        <w:tc>
          <w:tcPr>
            <w:tcW w:w="1560" w:type="dxa"/>
            <w:noWrap w:val="0"/>
            <w:vAlign w:val="center"/>
          </w:tcPr>
          <w:p w14:paraId="6578AD47">
            <w:pPr>
              <w:spacing w:after="0"/>
              <w:jc w:val="center"/>
              <w:rPr>
                <w:rFonts w:ascii="Times New Roman" w:hAnsi="Times New Roman"/>
                <w:sz w:val="21"/>
                <w:szCs w:val="21"/>
              </w:rPr>
            </w:pPr>
          </w:p>
        </w:tc>
        <w:tc>
          <w:tcPr>
            <w:tcW w:w="1559" w:type="dxa"/>
            <w:noWrap w:val="0"/>
            <w:vAlign w:val="center"/>
          </w:tcPr>
          <w:p w14:paraId="3627C4F1">
            <w:pPr>
              <w:spacing w:after="0"/>
              <w:jc w:val="center"/>
              <w:rPr>
                <w:rFonts w:ascii="Times New Roman" w:hAnsi="Times New Roman"/>
                <w:sz w:val="21"/>
                <w:szCs w:val="21"/>
              </w:rPr>
            </w:pPr>
          </w:p>
        </w:tc>
        <w:tc>
          <w:tcPr>
            <w:tcW w:w="3009" w:type="dxa"/>
            <w:noWrap w:val="0"/>
            <w:vAlign w:val="center"/>
          </w:tcPr>
          <w:p w14:paraId="64066EA6">
            <w:pPr>
              <w:spacing w:after="0"/>
              <w:jc w:val="center"/>
              <w:rPr>
                <w:rFonts w:ascii="Times New Roman" w:hAnsi="Times New Roman"/>
                <w:sz w:val="21"/>
                <w:szCs w:val="21"/>
              </w:rPr>
            </w:pPr>
          </w:p>
        </w:tc>
      </w:tr>
      <w:tr w14:paraId="0AF6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623E2476">
            <w:pPr>
              <w:spacing w:after="0"/>
              <w:jc w:val="center"/>
              <w:rPr>
                <w:rFonts w:ascii="Times New Roman" w:hAnsi="Times New Roman"/>
                <w:sz w:val="21"/>
                <w:szCs w:val="21"/>
              </w:rPr>
            </w:pPr>
            <w:r>
              <w:rPr>
                <w:rFonts w:hint="eastAsia" w:ascii="Times New Roman" w:hAnsi="Times New Roman"/>
                <w:sz w:val="21"/>
                <w:szCs w:val="21"/>
              </w:rPr>
              <w:t>6</w:t>
            </w:r>
          </w:p>
        </w:tc>
        <w:tc>
          <w:tcPr>
            <w:tcW w:w="1559" w:type="dxa"/>
            <w:noWrap w:val="0"/>
            <w:vAlign w:val="center"/>
          </w:tcPr>
          <w:p w14:paraId="22ED09F9">
            <w:pPr>
              <w:spacing w:after="0"/>
              <w:ind w:left="0" w:leftChars="0" w:right="0" w:rightChars="0"/>
              <w:jc w:val="center"/>
              <w:rPr>
                <w:rFonts w:ascii="Times New Roman"/>
                <w:sz w:val="21"/>
                <w:szCs w:val="21"/>
              </w:rPr>
            </w:pPr>
            <w:r>
              <w:rPr>
                <w:rFonts w:hint="eastAsia" w:ascii="Times New Roman"/>
                <w:sz w:val="21"/>
                <w:szCs w:val="21"/>
              </w:rPr>
              <w:t>专家</w:t>
            </w:r>
          </w:p>
        </w:tc>
        <w:tc>
          <w:tcPr>
            <w:tcW w:w="3827" w:type="dxa"/>
            <w:noWrap w:val="0"/>
            <w:vAlign w:val="center"/>
          </w:tcPr>
          <w:p w14:paraId="05545AF5">
            <w:pPr>
              <w:spacing w:after="0"/>
              <w:ind w:left="0" w:leftChars="0" w:right="0" w:rightChars="0"/>
              <w:jc w:val="center"/>
              <w:rPr>
                <w:rFonts w:hint="eastAsia" w:ascii="Times New Roman" w:hAnsi="Times New Roman" w:eastAsia="宋体" w:cs="Times New Roman"/>
                <w:sz w:val="21"/>
                <w:szCs w:val="21"/>
              </w:rPr>
            </w:pPr>
            <w:r>
              <w:rPr>
                <w:rFonts w:hint="default" w:ascii="Times New Roman" w:hAnsi="Times New Roman" w:eastAsia="宋体" w:cs="Times New Roman"/>
                <w:sz w:val="21"/>
                <w:szCs w:val="21"/>
              </w:rPr>
              <w:t>广东省江门生态环境监测站</w:t>
            </w:r>
          </w:p>
        </w:tc>
        <w:tc>
          <w:tcPr>
            <w:tcW w:w="1559" w:type="dxa"/>
            <w:noWrap w:val="0"/>
            <w:vAlign w:val="center"/>
          </w:tcPr>
          <w:p w14:paraId="0E4C4D4A">
            <w:pPr>
              <w:spacing w:after="0"/>
              <w:jc w:val="center"/>
              <w:rPr>
                <w:rFonts w:ascii="Times New Roman" w:hAnsi="Times New Roman"/>
                <w:sz w:val="21"/>
                <w:szCs w:val="21"/>
              </w:rPr>
            </w:pPr>
          </w:p>
        </w:tc>
        <w:tc>
          <w:tcPr>
            <w:tcW w:w="1560" w:type="dxa"/>
            <w:noWrap w:val="0"/>
            <w:vAlign w:val="center"/>
          </w:tcPr>
          <w:p w14:paraId="7D57136E">
            <w:pPr>
              <w:spacing w:after="0"/>
              <w:jc w:val="center"/>
              <w:rPr>
                <w:rFonts w:ascii="Times New Roman" w:hAnsi="Times New Roman"/>
                <w:sz w:val="21"/>
                <w:szCs w:val="21"/>
              </w:rPr>
            </w:pPr>
          </w:p>
        </w:tc>
        <w:tc>
          <w:tcPr>
            <w:tcW w:w="1559" w:type="dxa"/>
            <w:noWrap w:val="0"/>
            <w:vAlign w:val="center"/>
          </w:tcPr>
          <w:p w14:paraId="2EFB0359">
            <w:pPr>
              <w:spacing w:after="0"/>
              <w:jc w:val="center"/>
              <w:rPr>
                <w:rFonts w:ascii="Times New Roman" w:hAnsi="Times New Roman"/>
                <w:sz w:val="21"/>
                <w:szCs w:val="21"/>
              </w:rPr>
            </w:pPr>
          </w:p>
        </w:tc>
        <w:tc>
          <w:tcPr>
            <w:tcW w:w="3009" w:type="dxa"/>
            <w:noWrap w:val="0"/>
            <w:vAlign w:val="center"/>
          </w:tcPr>
          <w:p w14:paraId="2182E59D">
            <w:pPr>
              <w:spacing w:after="0"/>
              <w:jc w:val="center"/>
              <w:rPr>
                <w:rFonts w:ascii="Times New Roman" w:hAnsi="Times New Roman"/>
                <w:sz w:val="21"/>
                <w:szCs w:val="21"/>
              </w:rPr>
            </w:pPr>
          </w:p>
        </w:tc>
      </w:tr>
      <w:tr w14:paraId="19D9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306842AA">
            <w:pPr>
              <w:spacing w:after="0"/>
              <w:jc w:val="center"/>
              <w:rPr>
                <w:rFonts w:hint="eastAsia" w:ascii="Times New Roman" w:hAnsi="Times New Roman" w:eastAsia="宋体"/>
                <w:sz w:val="21"/>
                <w:szCs w:val="21"/>
                <w:lang w:eastAsia="zh-CN"/>
              </w:rPr>
            </w:pPr>
            <w:r>
              <w:rPr>
                <w:rFonts w:hint="eastAsia" w:ascii="Times New Roman" w:hAnsi="Times New Roman"/>
                <w:sz w:val="21"/>
                <w:szCs w:val="21"/>
                <w:lang w:val="en-US" w:eastAsia="zh-CN"/>
              </w:rPr>
              <w:t>7</w:t>
            </w:r>
          </w:p>
        </w:tc>
        <w:tc>
          <w:tcPr>
            <w:tcW w:w="1559" w:type="dxa"/>
            <w:noWrap w:val="0"/>
            <w:vAlign w:val="center"/>
          </w:tcPr>
          <w:p w14:paraId="6ED7F69D">
            <w:pPr>
              <w:spacing w:after="0"/>
              <w:ind w:left="0" w:leftChars="0" w:right="0" w:rightChars="0"/>
              <w:jc w:val="center"/>
              <w:rPr>
                <w:rFonts w:ascii="Times New Roman"/>
                <w:sz w:val="21"/>
                <w:szCs w:val="21"/>
              </w:rPr>
            </w:pPr>
            <w:r>
              <w:rPr>
                <w:rFonts w:hint="eastAsia" w:ascii="Times New Roman"/>
                <w:sz w:val="21"/>
                <w:szCs w:val="21"/>
              </w:rPr>
              <w:t>专家</w:t>
            </w:r>
          </w:p>
        </w:tc>
        <w:tc>
          <w:tcPr>
            <w:tcW w:w="3827" w:type="dxa"/>
            <w:noWrap w:val="0"/>
            <w:vAlign w:val="center"/>
          </w:tcPr>
          <w:p w14:paraId="06FFF242">
            <w:pPr>
              <w:spacing w:after="0"/>
              <w:ind w:left="0" w:leftChars="0" w:right="0" w:rightChars="0"/>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江门市长绿环保科技有限公司</w:t>
            </w:r>
          </w:p>
        </w:tc>
        <w:tc>
          <w:tcPr>
            <w:tcW w:w="1559" w:type="dxa"/>
            <w:noWrap w:val="0"/>
            <w:vAlign w:val="center"/>
          </w:tcPr>
          <w:p w14:paraId="6792D859">
            <w:pPr>
              <w:spacing w:after="0"/>
              <w:jc w:val="center"/>
              <w:rPr>
                <w:rFonts w:ascii="Times New Roman" w:hAnsi="Times New Roman"/>
                <w:sz w:val="21"/>
                <w:szCs w:val="21"/>
              </w:rPr>
            </w:pPr>
          </w:p>
        </w:tc>
        <w:tc>
          <w:tcPr>
            <w:tcW w:w="1560" w:type="dxa"/>
            <w:noWrap w:val="0"/>
            <w:vAlign w:val="center"/>
          </w:tcPr>
          <w:p w14:paraId="4A69D03F">
            <w:pPr>
              <w:spacing w:after="0"/>
              <w:jc w:val="center"/>
              <w:rPr>
                <w:rFonts w:ascii="Times New Roman" w:hAnsi="Times New Roman"/>
                <w:sz w:val="21"/>
                <w:szCs w:val="21"/>
              </w:rPr>
            </w:pPr>
          </w:p>
        </w:tc>
        <w:tc>
          <w:tcPr>
            <w:tcW w:w="1559" w:type="dxa"/>
            <w:noWrap w:val="0"/>
            <w:vAlign w:val="center"/>
          </w:tcPr>
          <w:p w14:paraId="4DE83A01">
            <w:pPr>
              <w:spacing w:after="0"/>
              <w:jc w:val="center"/>
              <w:rPr>
                <w:rFonts w:ascii="Times New Roman" w:hAnsi="Times New Roman"/>
                <w:sz w:val="21"/>
                <w:szCs w:val="21"/>
              </w:rPr>
            </w:pPr>
          </w:p>
        </w:tc>
        <w:tc>
          <w:tcPr>
            <w:tcW w:w="3009" w:type="dxa"/>
            <w:noWrap w:val="0"/>
            <w:vAlign w:val="center"/>
          </w:tcPr>
          <w:p w14:paraId="35BB4322">
            <w:pPr>
              <w:spacing w:after="0"/>
              <w:jc w:val="center"/>
              <w:rPr>
                <w:rFonts w:ascii="Times New Roman" w:hAnsi="Times New Roman"/>
                <w:sz w:val="21"/>
                <w:szCs w:val="21"/>
              </w:rPr>
            </w:pPr>
          </w:p>
        </w:tc>
      </w:tr>
      <w:tr w14:paraId="6FF1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248DD2EA">
            <w:pPr>
              <w:spacing w:after="0"/>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8</w:t>
            </w:r>
          </w:p>
        </w:tc>
        <w:tc>
          <w:tcPr>
            <w:tcW w:w="1559" w:type="dxa"/>
            <w:noWrap w:val="0"/>
            <w:vAlign w:val="center"/>
          </w:tcPr>
          <w:p w14:paraId="64C57AD8">
            <w:pPr>
              <w:spacing w:after="0"/>
              <w:ind w:left="0" w:leftChars="0" w:right="0" w:rightChars="0"/>
              <w:jc w:val="center"/>
              <w:rPr>
                <w:rFonts w:ascii="Times New Roman"/>
                <w:sz w:val="21"/>
                <w:szCs w:val="21"/>
              </w:rPr>
            </w:pPr>
            <w:r>
              <w:rPr>
                <w:rFonts w:hint="eastAsia" w:ascii="Times New Roman"/>
                <w:sz w:val="21"/>
                <w:szCs w:val="21"/>
              </w:rPr>
              <w:t>专家</w:t>
            </w:r>
          </w:p>
        </w:tc>
        <w:tc>
          <w:tcPr>
            <w:tcW w:w="3827" w:type="dxa"/>
            <w:noWrap w:val="0"/>
            <w:vAlign w:val="center"/>
          </w:tcPr>
          <w:p w14:paraId="7BB9BA36">
            <w:pPr>
              <w:spacing w:after="0"/>
              <w:ind w:left="0" w:leftChars="0" w:right="0" w:rightChars="0"/>
              <w:jc w:val="center"/>
              <w:rPr>
                <w:rFonts w:hint="default" w:ascii="Times New Roman" w:hAnsi="Times New Roman" w:eastAsia="宋体" w:cs="Times New Roman"/>
                <w:sz w:val="21"/>
                <w:szCs w:val="21"/>
                <w:lang w:val="en-US"/>
              </w:rPr>
            </w:pPr>
            <w:r>
              <w:rPr>
                <w:rFonts w:hint="eastAsia" w:ascii="Times New Roman" w:hAnsi="Times New Roman" w:eastAsia="宋体" w:cs="Times New Roman"/>
                <w:sz w:val="21"/>
                <w:szCs w:val="21"/>
                <w:lang w:val="en-US" w:eastAsia="zh-CN"/>
              </w:rPr>
              <w:t>五邑大学</w:t>
            </w:r>
          </w:p>
        </w:tc>
        <w:tc>
          <w:tcPr>
            <w:tcW w:w="1559" w:type="dxa"/>
            <w:noWrap w:val="0"/>
            <w:vAlign w:val="center"/>
          </w:tcPr>
          <w:p w14:paraId="668C6C95">
            <w:pPr>
              <w:spacing w:after="0"/>
              <w:jc w:val="center"/>
              <w:rPr>
                <w:rFonts w:ascii="Times New Roman" w:hAnsi="Times New Roman"/>
                <w:sz w:val="21"/>
                <w:szCs w:val="21"/>
              </w:rPr>
            </w:pPr>
          </w:p>
        </w:tc>
        <w:tc>
          <w:tcPr>
            <w:tcW w:w="1560" w:type="dxa"/>
            <w:noWrap w:val="0"/>
            <w:vAlign w:val="center"/>
          </w:tcPr>
          <w:p w14:paraId="276A5CA6">
            <w:pPr>
              <w:spacing w:after="0"/>
              <w:jc w:val="center"/>
              <w:rPr>
                <w:rFonts w:ascii="Times New Roman" w:hAnsi="Times New Roman"/>
                <w:sz w:val="21"/>
                <w:szCs w:val="21"/>
              </w:rPr>
            </w:pPr>
          </w:p>
        </w:tc>
        <w:tc>
          <w:tcPr>
            <w:tcW w:w="1559" w:type="dxa"/>
            <w:noWrap w:val="0"/>
            <w:vAlign w:val="center"/>
          </w:tcPr>
          <w:p w14:paraId="4A247142">
            <w:pPr>
              <w:spacing w:after="0"/>
              <w:jc w:val="center"/>
              <w:rPr>
                <w:rFonts w:ascii="Times New Roman" w:hAnsi="Times New Roman"/>
                <w:sz w:val="21"/>
                <w:szCs w:val="21"/>
              </w:rPr>
            </w:pPr>
          </w:p>
        </w:tc>
        <w:tc>
          <w:tcPr>
            <w:tcW w:w="3009" w:type="dxa"/>
            <w:noWrap w:val="0"/>
            <w:vAlign w:val="center"/>
          </w:tcPr>
          <w:p w14:paraId="4512B77F">
            <w:pPr>
              <w:spacing w:after="0"/>
              <w:jc w:val="center"/>
              <w:rPr>
                <w:rFonts w:ascii="Times New Roman" w:hAnsi="Times New Roman"/>
                <w:sz w:val="21"/>
                <w:szCs w:val="21"/>
              </w:rPr>
            </w:pPr>
          </w:p>
        </w:tc>
      </w:tr>
      <w:tr w14:paraId="73223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4EE4360A">
            <w:pPr>
              <w:spacing w:after="0"/>
              <w:jc w:val="center"/>
              <w:rPr>
                <w:rFonts w:hint="eastAsia" w:ascii="Times New Roman" w:hAnsi="Times New Roman" w:eastAsia="宋体"/>
                <w:sz w:val="21"/>
                <w:szCs w:val="21"/>
                <w:lang w:eastAsia="zh-CN"/>
              </w:rPr>
            </w:pPr>
            <w:r>
              <w:rPr>
                <w:rFonts w:hint="eastAsia" w:ascii="Times New Roman" w:hAnsi="Times New Roman"/>
                <w:sz w:val="21"/>
                <w:szCs w:val="21"/>
                <w:lang w:val="en-US" w:eastAsia="zh-CN"/>
              </w:rPr>
              <w:t>9</w:t>
            </w:r>
          </w:p>
        </w:tc>
        <w:tc>
          <w:tcPr>
            <w:tcW w:w="1559" w:type="dxa"/>
            <w:noWrap w:val="0"/>
            <w:vAlign w:val="center"/>
          </w:tcPr>
          <w:p w14:paraId="14986B4A">
            <w:pPr>
              <w:spacing w:after="0"/>
              <w:jc w:val="center"/>
              <w:rPr>
                <w:rFonts w:ascii="Times New Roman"/>
                <w:sz w:val="21"/>
                <w:szCs w:val="21"/>
              </w:rPr>
            </w:pPr>
          </w:p>
        </w:tc>
        <w:tc>
          <w:tcPr>
            <w:tcW w:w="3827" w:type="dxa"/>
            <w:noWrap w:val="0"/>
            <w:vAlign w:val="center"/>
          </w:tcPr>
          <w:p w14:paraId="286CE184">
            <w:pPr>
              <w:spacing w:after="0"/>
              <w:jc w:val="center"/>
              <w:rPr>
                <w:rFonts w:hint="eastAsia" w:ascii="Times New Roman" w:hAnsi="Times New Roman" w:eastAsia="宋体" w:cs="Times New Roman"/>
                <w:sz w:val="21"/>
                <w:szCs w:val="21"/>
              </w:rPr>
            </w:pPr>
          </w:p>
        </w:tc>
        <w:tc>
          <w:tcPr>
            <w:tcW w:w="1559" w:type="dxa"/>
            <w:noWrap w:val="0"/>
            <w:vAlign w:val="center"/>
          </w:tcPr>
          <w:p w14:paraId="1E9F0E12">
            <w:pPr>
              <w:spacing w:after="0"/>
              <w:jc w:val="center"/>
              <w:rPr>
                <w:rFonts w:ascii="Times New Roman" w:hAnsi="Times New Roman"/>
                <w:sz w:val="21"/>
                <w:szCs w:val="21"/>
              </w:rPr>
            </w:pPr>
          </w:p>
        </w:tc>
        <w:tc>
          <w:tcPr>
            <w:tcW w:w="1560" w:type="dxa"/>
            <w:noWrap w:val="0"/>
            <w:vAlign w:val="center"/>
          </w:tcPr>
          <w:p w14:paraId="76277B88">
            <w:pPr>
              <w:spacing w:after="0"/>
              <w:jc w:val="center"/>
              <w:rPr>
                <w:rFonts w:ascii="Times New Roman" w:hAnsi="Times New Roman"/>
                <w:sz w:val="21"/>
                <w:szCs w:val="21"/>
              </w:rPr>
            </w:pPr>
          </w:p>
        </w:tc>
        <w:tc>
          <w:tcPr>
            <w:tcW w:w="1559" w:type="dxa"/>
            <w:noWrap w:val="0"/>
            <w:vAlign w:val="center"/>
          </w:tcPr>
          <w:p w14:paraId="603D6D3C">
            <w:pPr>
              <w:spacing w:after="0"/>
              <w:jc w:val="center"/>
              <w:rPr>
                <w:rFonts w:ascii="Times New Roman" w:hAnsi="Times New Roman"/>
                <w:sz w:val="21"/>
                <w:szCs w:val="21"/>
              </w:rPr>
            </w:pPr>
          </w:p>
        </w:tc>
        <w:tc>
          <w:tcPr>
            <w:tcW w:w="3009" w:type="dxa"/>
            <w:noWrap w:val="0"/>
            <w:vAlign w:val="center"/>
          </w:tcPr>
          <w:p w14:paraId="77ACD9FA">
            <w:pPr>
              <w:spacing w:after="0"/>
              <w:jc w:val="center"/>
              <w:rPr>
                <w:rFonts w:ascii="Times New Roman" w:hAnsi="Times New Roman"/>
                <w:sz w:val="21"/>
                <w:szCs w:val="21"/>
              </w:rPr>
            </w:pPr>
          </w:p>
        </w:tc>
      </w:tr>
      <w:tr w14:paraId="04663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5926D19C">
            <w:pPr>
              <w:spacing w:after="0"/>
              <w:jc w:val="center"/>
              <w:rPr>
                <w:rFonts w:hint="default" w:ascii="Times New Roman" w:hAnsi="Times New Roman"/>
                <w:sz w:val="21"/>
                <w:szCs w:val="21"/>
                <w:lang w:val="en-US" w:eastAsia="zh-CN"/>
              </w:rPr>
            </w:pPr>
            <w:r>
              <w:rPr>
                <w:rFonts w:hint="eastAsia" w:ascii="Times New Roman" w:hAnsi="Times New Roman"/>
                <w:sz w:val="21"/>
                <w:szCs w:val="21"/>
                <w:lang w:val="en-US" w:eastAsia="zh-CN"/>
              </w:rPr>
              <w:t>10</w:t>
            </w:r>
          </w:p>
        </w:tc>
        <w:tc>
          <w:tcPr>
            <w:tcW w:w="1559" w:type="dxa"/>
            <w:noWrap w:val="0"/>
            <w:vAlign w:val="center"/>
          </w:tcPr>
          <w:p w14:paraId="3A95966F">
            <w:pPr>
              <w:spacing w:after="0"/>
              <w:jc w:val="center"/>
              <w:rPr>
                <w:rFonts w:hint="default" w:ascii="Times New Roman" w:eastAsia="宋体"/>
                <w:sz w:val="21"/>
                <w:szCs w:val="21"/>
                <w:lang w:val="en-US" w:eastAsia="zh-CN"/>
              </w:rPr>
            </w:pPr>
          </w:p>
        </w:tc>
        <w:tc>
          <w:tcPr>
            <w:tcW w:w="3827" w:type="dxa"/>
            <w:noWrap w:val="0"/>
            <w:vAlign w:val="center"/>
          </w:tcPr>
          <w:p w14:paraId="2F8E269E">
            <w:pPr>
              <w:spacing w:after="0"/>
              <w:jc w:val="center"/>
              <w:rPr>
                <w:rFonts w:hint="eastAsia" w:ascii="Times New Roman" w:hAnsi="Times New Roman" w:eastAsia="宋体" w:cs="Times New Roman"/>
                <w:sz w:val="21"/>
                <w:szCs w:val="21"/>
                <w:lang w:val="en-US" w:eastAsia="zh-CN"/>
              </w:rPr>
            </w:pPr>
          </w:p>
        </w:tc>
        <w:tc>
          <w:tcPr>
            <w:tcW w:w="1559" w:type="dxa"/>
            <w:noWrap w:val="0"/>
            <w:vAlign w:val="center"/>
          </w:tcPr>
          <w:p w14:paraId="621BF44F">
            <w:pPr>
              <w:spacing w:after="0"/>
              <w:jc w:val="center"/>
              <w:rPr>
                <w:rFonts w:ascii="Times New Roman" w:hAnsi="Times New Roman"/>
                <w:sz w:val="21"/>
                <w:szCs w:val="21"/>
              </w:rPr>
            </w:pPr>
          </w:p>
        </w:tc>
        <w:tc>
          <w:tcPr>
            <w:tcW w:w="1560" w:type="dxa"/>
            <w:noWrap w:val="0"/>
            <w:vAlign w:val="center"/>
          </w:tcPr>
          <w:p w14:paraId="56C61720">
            <w:pPr>
              <w:spacing w:after="0"/>
              <w:jc w:val="center"/>
              <w:rPr>
                <w:rFonts w:ascii="Times New Roman" w:hAnsi="Times New Roman"/>
                <w:sz w:val="21"/>
                <w:szCs w:val="21"/>
              </w:rPr>
            </w:pPr>
          </w:p>
        </w:tc>
        <w:tc>
          <w:tcPr>
            <w:tcW w:w="1559" w:type="dxa"/>
            <w:noWrap w:val="0"/>
            <w:vAlign w:val="center"/>
          </w:tcPr>
          <w:p w14:paraId="40A81118">
            <w:pPr>
              <w:spacing w:after="0"/>
              <w:jc w:val="center"/>
              <w:rPr>
                <w:rFonts w:ascii="Times New Roman" w:hAnsi="Times New Roman"/>
                <w:sz w:val="21"/>
                <w:szCs w:val="21"/>
              </w:rPr>
            </w:pPr>
          </w:p>
        </w:tc>
        <w:tc>
          <w:tcPr>
            <w:tcW w:w="3009" w:type="dxa"/>
            <w:noWrap w:val="0"/>
            <w:vAlign w:val="center"/>
          </w:tcPr>
          <w:p w14:paraId="513AC4D9">
            <w:pPr>
              <w:spacing w:after="0"/>
              <w:jc w:val="center"/>
              <w:rPr>
                <w:rFonts w:ascii="Times New Roman" w:hAnsi="Times New Roman"/>
                <w:sz w:val="21"/>
                <w:szCs w:val="21"/>
              </w:rPr>
            </w:pPr>
          </w:p>
        </w:tc>
      </w:tr>
      <w:tr w14:paraId="63C2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0"/>
            <w:vAlign w:val="center"/>
          </w:tcPr>
          <w:p w14:paraId="7D991268">
            <w:pPr>
              <w:spacing w:after="0"/>
              <w:jc w:val="center"/>
              <w:rPr>
                <w:rFonts w:hint="default" w:ascii="Times New Roman" w:hAnsi="Times New Roman"/>
                <w:sz w:val="21"/>
                <w:szCs w:val="21"/>
                <w:lang w:val="en-US" w:eastAsia="zh-CN"/>
              </w:rPr>
            </w:pPr>
            <w:r>
              <w:rPr>
                <w:rFonts w:hint="eastAsia" w:ascii="Times New Roman" w:hAnsi="Times New Roman"/>
                <w:sz w:val="21"/>
                <w:szCs w:val="21"/>
                <w:lang w:val="en-US" w:eastAsia="zh-CN"/>
              </w:rPr>
              <w:t>11</w:t>
            </w:r>
          </w:p>
        </w:tc>
        <w:tc>
          <w:tcPr>
            <w:tcW w:w="1559" w:type="dxa"/>
            <w:noWrap w:val="0"/>
            <w:vAlign w:val="center"/>
          </w:tcPr>
          <w:p w14:paraId="7A77EBE6">
            <w:pPr>
              <w:spacing w:after="0"/>
              <w:jc w:val="center"/>
              <w:rPr>
                <w:rFonts w:hint="eastAsia" w:ascii="Times New Roman"/>
                <w:sz w:val="21"/>
                <w:szCs w:val="21"/>
                <w:lang w:val="en-US" w:eastAsia="zh-CN"/>
              </w:rPr>
            </w:pPr>
          </w:p>
        </w:tc>
        <w:tc>
          <w:tcPr>
            <w:tcW w:w="3827" w:type="dxa"/>
            <w:noWrap w:val="0"/>
            <w:vAlign w:val="center"/>
          </w:tcPr>
          <w:p w14:paraId="3399C682">
            <w:pPr>
              <w:spacing w:after="0"/>
              <w:jc w:val="center"/>
              <w:rPr>
                <w:rFonts w:hint="eastAsia" w:ascii="Times New Roman" w:hAnsi="Times New Roman" w:eastAsia="宋体" w:cs="Times New Roman"/>
                <w:sz w:val="21"/>
                <w:szCs w:val="21"/>
                <w:lang w:val="en-US" w:eastAsia="zh-CN"/>
              </w:rPr>
            </w:pPr>
          </w:p>
        </w:tc>
        <w:tc>
          <w:tcPr>
            <w:tcW w:w="1559" w:type="dxa"/>
            <w:noWrap w:val="0"/>
            <w:vAlign w:val="center"/>
          </w:tcPr>
          <w:p w14:paraId="103E0AB4">
            <w:pPr>
              <w:spacing w:after="0"/>
              <w:jc w:val="center"/>
              <w:rPr>
                <w:rFonts w:ascii="Times New Roman" w:hAnsi="Times New Roman"/>
                <w:sz w:val="21"/>
                <w:szCs w:val="21"/>
              </w:rPr>
            </w:pPr>
          </w:p>
        </w:tc>
        <w:tc>
          <w:tcPr>
            <w:tcW w:w="1560" w:type="dxa"/>
            <w:noWrap w:val="0"/>
            <w:vAlign w:val="center"/>
          </w:tcPr>
          <w:p w14:paraId="479D4762">
            <w:pPr>
              <w:spacing w:after="0"/>
              <w:jc w:val="center"/>
              <w:rPr>
                <w:rFonts w:ascii="Times New Roman" w:hAnsi="Times New Roman"/>
                <w:sz w:val="21"/>
                <w:szCs w:val="21"/>
              </w:rPr>
            </w:pPr>
          </w:p>
        </w:tc>
        <w:tc>
          <w:tcPr>
            <w:tcW w:w="1559" w:type="dxa"/>
            <w:noWrap w:val="0"/>
            <w:vAlign w:val="center"/>
          </w:tcPr>
          <w:p w14:paraId="5235E48D">
            <w:pPr>
              <w:spacing w:after="0"/>
              <w:jc w:val="center"/>
              <w:rPr>
                <w:rFonts w:ascii="Times New Roman" w:hAnsi="Times New Roman"/>
                <w:sz w:val="21"/>
                <w:szCs w:val="21"/>
              </w:rPr>
            </w:pPr>
          </w:p>
        </w:tc>
        <w:tc>
          <w:tcPr>
            <w:tcW w:w="3009" w:type="dxa"/>
            <w:noWrap w:val="0"/>
            <w:vAlign w:val="center"/>
          </w:tcPr>
          <w:p w14:paraId="64F41B5E">
            <w:pPr>
              <w:spacing w:after="0"/>
              <w:jc w:val="center"/>
              <w:rPr>
                <w:rFonts w:ascii="Times New Roman" w:hAnsi="Times New Roman"/>
                <w:sz w:val="21"/>
                <w:szCs w:val="21"/>
              </w:rPr>
            </w:pPr>
          </w:p>
        </w:tc>
      </w:tr>
    </w:tbl>
    <w:p w14:paraId="6C34CE3D">
      <w:pPr>
        <w:pStyle w:val="3"/>
        <w:ind w:left="5795"/>
      </w:pPr>
    </w:p>
    <w:sectPr>
      <w:pgSz w:w="16840" w:h="11910" w:orient="landscape"/>
      <w:pgMar w:top="1540" w:right="1540" w:bottom="1340" w:left="1180" w:header="0"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4454F">
    <w:pPr>
      <w:pStyle w:val="3"/>
      <w:spacing w:before="0"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3714115</wp:posOffset>
              </wp:positionH>
              <wp:positionV relativeFrom="page">
                <wp:posOffset>9921875</wp:posOffset>
              </wp:positionV>
              <wp:extent cx="133350" cy="152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33350" cy="152400"/>
                      </a:xfrm>
                      <a:prstGeom prst="rect">
                        <a:avLst/>
                      </a:prstGeom>
                      <a:noFill/>
                      <a:ln>
                        <a:noFill/>
                      </a:ln>
                    </wps:spPr>
                    <wps:txbx>
                      <w:txbxContent>
                        <w:p w14:paraId="33A61E0C">
                          <w:pPr>
                            <w:spacing w:before="12"/>
                            <w:ind w:left="60" w:right="0" w:firstLine="0"/>
                            <w:jc w:val="left"/>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2.45pt;margin-top:781.25pt;height:12pt;width:10.5pt;mso-position-horizontal-relative:page;mso-position-vertical-relative:page;z-index:-251657216;mso-width-relative:page;mso-height-relative:page;" filled="f" stroked="f" coordsize="21600,21600" o:gfxdata="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gOnZfaAAAADQEAAA8AAAAAAAAAAQAgAAAAIgAAAGRycy9kb3ducmV2LnhtbFBLAQIU&#10;ABQAAAAIAIdO4kDhoZNduAEAAHEDAAAOAAAAAAAAAAEAIAAAACkBAABkcnMvZTJvRG9jLnhtbFBL&#10;BQYAAAAABgAGAFkBAABTBQAAAAA=&#10;">
              <v:fill on="f" focussize="0,0"/>
              <v:stroke on="f"/>
              <v:imagedata o:title=""/>
              <o:lock v:ext="edit" aspectratio="f"/>
              <v:textbox inset="0mm,0mm,0mm,0mm">
                <w:txbxContent>
                  <w:p w14:paraId="33A61E0C">
                    <w:pPr>
                      <w:spacing w:before="12"/>
                      <w:ind w:left="60" w:right="0" w:firstLine="0"/>
                      <w:jc w:val="left"/>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F1773E"/>
    <w:multiLevelType w:val="multilevel"/>
    <w:tmpl w:val="B8F1773E"/>
    <w:lvl w:ilvl="0" w:tentative="0">
      <w:start w:val="1"/>
      <w:numFmt w:val="decimal"/>
      <w:lvlText w:val="（%1）"/>
      <w:lvlJc w:val="left"/>
      <w:pPr>
        <w:ind w:left="1456" w:hanging="753"/>
        <w:jc w:val="left"/>
      </w:pPr>
      <w:rPr>
        <w:rFonts w:hint="default" w:ascii="宋体" w:hAnsi="宋体" w:eastAsia="宋体" w:cs="宋体"/>
        <w:spacing w:val="-2"/>
        <w:w w:val="100"/>
        <w:sz w:val="28"/>
        <w:szCs w:val="28"/>
        <w:lang w:val="en-US" w:eastAsia="zh-CN" w:bidi="ar-SA"/>
      </w:rPr>
    </w:lvl>
    <w:lvl w:ilvl="1" w:tentative="0">
      <w:start w:val="0"/>
      <w:numFmt w:val="bullet"/>
      <w:lvlText w:val="•"/>
      <w:lvlJc w:val="left"/>
      <w:pPr>
        <w:ind w:left="2216" w:hanging="753"/>
      </w:pPr>
      <w:rPr>
        <w:rFonts w:hint="default"/>
        <w:lang w:val="en-US" w:eastAsia="zh-CN" w:bidi="ar-SA"/>
      </w:rPr>
    </w:lvl>
    <w:lvl w:ilvl="2" w:tentative="0">
      <w:start w:val="0"/>
      <w:numFmt w:val="bullet"/>
      <w:lvlText w:val="•"/>
      <w:lvlJc w:val="left"/>
      <w:pPr>
        <w:ind w:left="2973" w:hanging="753"/>
      </w:pPr>
      <w:rPr>
        <w:rFonts w:hint="default"/>
        <w:lang w:val="en-US" w:eastAsia="zh-CN" w:bidi="ar-SA"/>
      </w:rPr>
    </w:lvl>
    <w:lvl w:ilvl="3" w:tentative="0">
      <w:start w:val="0"/>
      <w:numFmt w:val="bullet"/>
      <w:lvlText w:val="•"/>
      <w:lvlJc w:val="left"/>
      <w:pPr>
        <w:ind w:left="3729" w:hanging="753"/>
      </w:pPr>
      <w:rPr>
        <w:rFonts w:hint="default"/>
        <w:lang w:val="en-US" w:eastAsia="zh-CN" w:bidi="ar-SA"/>
      </w:rPr>
    </w:lvl>
    <w:lvl w:ilvl="4" w:tentative="0">
      <w:start w:val="0"/>
      <w:numFmt w:val="bullet"/>
      <w:lvlText w:val="•"/>
      <w:lvlJc w:val="left"/>
      <w:pPr>
        <w:ind w:left="4486" w:hanging="753"/>
      </w:pPr>
      <w:rPr>
        <w:rFonts w:hint="default"/>
        <w:lang w:val="en-US" w:eastAsia="zh-CN" w:bidi="ar-SA"/>
      </w:rPr>
    </w:lvl>
    <w:lvl w:ilvl="5" w:tentative="0">
      <w:start w:val="0"/>
      <w:numFmt w:val="bullet"/>
      <w:lvlText w:val="•"/>
      <w:lvlJc w:val="left"/>
      <w:pPr>
        <w:ind w:left="5243" w:hanging="753"/>
      </w:pPr>
      <w:rPr>
        <w:rFonts w:hint="default"/>
        <w:lang w:val="en-US" w:eastAsia="zh-CN" w:bidi="ar-SA"/>
      </w:rPr>
    </w:lvl>
    <w:lvl w:ilvl="6" w:tentative="0">
      <w:start w:val="0"/>
      <w:numFmt w:val="bullet"/>
      <w:lvlText w:val="•"/>
      <w:lvlJc w:val="left"/>
      <w:pPr>
        <w:ind w:left="5999" w:hanging="753"/>
      </w:pPr>
      <w:rPr>
        <w:rFonts w:hint="default"/>
        <w:lang w:val="en-US" w:eastAsia="zh-CN" w:bidi="ar-SA"/>
      </w:rPr>
    </w:lvl>
    <w:lvl w:ilvl="7" w:tentative="0">
      <w:start w:val="0"/>
      <w:numFmt w:val="bullet"/>
      <w:lvlText w:val="•"/>
      <w:lvlJc w:val="left"/>
      <w:pPr>
        <w:ind w:left="6756" w:hanging="753"/>
      </w:pPr>
      <w:rPr>
        <w:rFonts w:hint="default"/>
        <w:lang w:val="en-US" w:eastAsia="zh-CN" w:bidi="ar-SA"/>
      </w:rPr>
    </w:lvl>
    <w:lvl w:ilvl="8" w:tentative="0">
      <w:start w:val="0"/>
      <w:numFmt w:val="bullet"/>
      <w:lvlText w:val="•"/>
      <w:lvlJc w:val="left"/>
      <w:pPr>
        <w:ind w:left="7513" w:hanging="753"/>
      </w:pPr>
      <w:rPr>
        <w:rFonts w:hint="default"/>
        <w:lang w:val="en-US" w:eastAsia="zh-CN"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mZTUwZjFlZDgzNTI0ODllOTllMmI1Mjc2M2QwYjMifQ=="/>
  </w:docVars>
  <w:rsids>
    <w:rsidRoot w:val="00000000"/>
    <w:rsid w:val="29D61A9D"/>
    <w:rsid w:val="3089362F"/>
    <w:rsid w:val="61AE23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qFormat/>
    <w:uiPriority w:val="1"/>
    <w:pPr>
      <w:ind w:left="706"/>
      <w:outlineLvl w:val="1"/>
    </w:pPr>
    <w:rPr>
      <w:rFonts w:ascii="Microsoft JhengHei" w:hAnsi="Microsoft JhengHei" w:eastAsia="Microsoft JhengHei" w:cs="Microsoft JhengHei"/>
      <w:b/>
      <w:bCs/>
      <w:sz w:val="30"/>
      <w:szCs w:val="30"/>
      <w:lang w:val="en-US" w:eastAsia="zh-CN" w:bidi="ar-SA"/>
    </w:rPr>
  </w:style>
  <w:style w:type="character" w:default="1" w:styleId="9">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before="240"/>
      <w:ind w:left="104"/>
    </w:pPr>
    <w:rPr>
      <w:rFonts w:ascii="宋体" w:hAnsi="宋体" w:eastAsia="宋体" w:cs="宋体"/>
      <w:sz w:val="30"/>
      <w:szCs w:val="30"/>
      <w:lang w:val="en-US" w:eastAsia="zh-CN" w:bidi="ar-SA"/>
    </w:r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qFormat/>
    <w:uiPriority w:val="1"/>
    <w:pPr>
      <w:spacing w:before="37"/>
      <w:ind w:left="1890" w:right="1283" w:hanging="761"/>
    </w:pPr>
    <w:rPr>
      <w:rFonts w:ascii="华文中宋" w:hAnsi="华文中宋" w:eastAsia="华文中宋" w:cs="华文中宋"/>
      <w:sz w:val="36"/>
      <w:szCs w:val="36"/>
      <w:lang w:val="en-US" w:eastAsia="zh-CN" w:bidi="ar-SA"/>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spacing w:before="2"/>
      <w:ind w:left="1456" w:hanging="753"/>
    </w:pPr>
    <w:rPr>
      <w:rFonts w:ascii="宋体" w:hAnsi="宋体" w:eastAsia="宋体" w:cs="宋体"/>
      <w:lang w:val="en-US" w:eastAsia="zh-CN" w:bidi="ar-SA"/>
    </w:rPr>
  </w:style>
  <w:style w:type="paragraph" w:customStyle="1" w:styleId="12">
    <w:name w:val="Table Paragraph"/>
    <w:basedOn w:val="1"/>
    <w:qFormat/>
    <w:uiPriority w:val="1"/>
    <w:rPr>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1647</Words>
  <Characters>1755</Characters>
  <TotalTime>1</TotalTime>
  <ScaleCrop>false</ScaleCrop>
  <LinksUpToDate>false</LinksUpToDate>
  <CharactersWithSpaces>1804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2024-11-08T05:09:00Z</dcterms:created>
  <dc:creator>郭建伟/办公室/admin</dc:creator>
  <cp:lastModifiedBy>Angelshark</cp:lastModifiedBy>
  <dcterms:modified xsi:type="dcterms:W3CDTF">2024-12-04T06:47:26Z</dcterms:modified>
  <dc:title>灵宝市欧曼建材有限责任公司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Microsoft® Word 2010</vt:lpwstr>
  </property>
  <property fmtid="{D5CDD505-2E9C-101B-9397-08002B2CF9AE}" pid="4" name="LastSaved">
    <vt:filetime>2024-11-08T00:00:00Z</vt:filetime>
  </property>
  <property fmtid="{D5CDD505-2E9C-101B-9397-08002B2CF9AE}" pid="5" name="KSOProductBuildVer">
    <vt:lpwstr>2052-12.1.0.18912</vt:lpwstr>
  </property>
  <property fmtid="{D5CDD505-2E9C-101B-9397-08002B2CF9AE}" pid="6" name="ICV">
    <vt:lpwstr>FE27C9BA72274C25B02517D13A153F4A_13</vt:lpwstr>
  </property>
</Properties>
</file>